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F6" w:rsidRDefault="007359F6">
      <w:pPr>
        <w:pStyle w:val="BodyText"/>
        <w:rPr>
          <w:rFonts w:ascii="Times New Roman"/>
          <w:b w:val="0"/>
          <w:sz w:val="20"/>
        </w:rPr>
      </w:pPr>
    </w:p>
    <w:p w:rsidR="007359F6" w:rsidRDefault="007359F6">
      <w:pPr>
        <w:pStyle w:val="BodyText"/>
        <w:spacing w:before="4"/>
        <w:rPr>
          <w:rFonts w:ascii="Times New Roman"/>
          <w:b w:val="0"/>
          <w:sz w:val="28"/>
        </w:rPr>
      </w:pPr>
    </w:p>
    <w:p w:rsidR="007359F6" w:rsidRDefault="004D7191">
      <w:pPr>
        <w:spacing w:before="100" w:after="21"/>
        <w:ind w:left="4135" w:right="4193"/>
        <w:jc w:val="center"/>
        <w:rPr>
          <w:rFonts w:ascii="Cambria"/>
          <w:b/>
          <w:sz w:val="24"/>
        </w:rPr>
      </w:pPr>
      <w:r>
        <w:rPr>
          <w:noProof/>
        </w:rPr>
        <w:drawing>
          <wp:anchor distT="0" distB="0" distL="0" distR="0" simplePos="0" relativeHeight="15728640" behindDoc="0" locked="0" layoutInCell="1" allowOverlap="1">
            <wp:simplePos x="0" y="0"/>
            <wp:positionH relativeFrom="page">
              <wp:posOffset>1048385</wp:posOffset>
            </wp:positionH>
            <wp:positionV relativeFrom="paragraph">
              <wp:posOffset>-355062</wp:posOffset>
            </wp:positionV>
            <wp:extent cx="1360169" cy="5638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60169" cy="563879"/>
                    </a:xfrm>
                    <a:prstGeom prst="rect">
                      <a:avLst/>
                    </a:prstGeom>
                  </pic:spPr>
                </pic:pic>
              </a:graphicData>
            </a:graphic>
          </wp:anchor>
        </w:drawing>
      </w:r>
      <w:r>
        <w:rPr>
          <w:rFonts w:ascii="Cambria"/>
          <w:b/>
          <w:sz w:val="24"/>
        </w:rPr>
        <w:t>NOTIFIABLE</w:t>
      </w:r>
      <w:r>
        <w:rPr>
          <w:rFonts w:ascii="Cambria"/>
          <w:b/>
          <w:spacing w:val="-4"/>
          <w:sz w:val="24"/>
        </w:rPr>
        <w:t xml:space="preserve"> </w:t>
      </w:r>
      <w:r>
        <w:rPr>
          <w:rFonts w:ascii="Cambria"/>
          <w:b/>
          <w:sz w:val="24"/>
        </w:rPr>
        <w:t>MEDICAL</w:t>
      </w:r>
      <w:r>
        <w:rPr>
          <w:rFonts w:ascii="Cambria"/>
          <w:b/>
          <w:spacing w:val="-4"/>
          <w:sz w:val="24"/>
        </w:rPr>
        <w:t xml:space="preserve"> </w:t>
      </w:r>
      <w:r>
        <w:rPr>
          <w:rFonts w:ascii="Cambria"/>
          <w:b/>
          <w:sz w:val="24"/>
        </w:rPr>
        <w:t>CONDITIONS</w:t>
      </w:r>
      <w:r>
        <w:rPr>
          <w:rFonts w:ascii="Cambria"/>
          <w:b/>
          <w:spacing w:val="-4"/>
          <w:sz w:val="24"/>
        </w:rPr>
        <w:t xml:space="preserve"> </w:t>
      </w:r>
      <w:r>
        <w:rPr>
          <w:rFonts w:ascii="Cambria"/>
          <w:b/>
          <w:sz w:val="24"/>
        </w:rPr>
        <w:t>(NMC)</w:t>
      </w:r>
      <w:r>
        <w:rPr>
          <w:rFonts w:ascii="Cambria"/>
          <w:b/>
          <w:spacing w:val="-4"/>
          <w:sz w:val="24"/>
        </w:rPr>
        <w:t xml:space="preserve"> </w:t>
      </w:r>
      <w:r>
        <w:rPr>
          <w:rFonts w:ascii="Cambria"/>
          <w:b/>
          <w:sz w:val="24"/>
        </w:rPr>
        <w:t>CASE</w:t>
      </w:r>
      <w:r>
        <w:rPr>
          <w:rFonts w:ascii="Cambria"/>
          <w:b/>
          <w:spacing w:val="-3"/>
          <w:sz w:val="24"/>
        </w:rPr>
        <w:t xml:space="preserve"> </w:t>
      </w:r>
      <w:r>
        <w:rPr>
          <w:rFonts w:ascii="Cambria"/>
          <w:b/>
          <w:sz w:val="24"/>
        </w:rPr>
        <w:t>DEFINITIONS</w:t>
      </w:r>
    </w:p>
    <w:p w:rsidR="007359F6" w:rsidRDefault="004D7191">
      <w:pPr>
        <w:pStyle w:val="BodyText"/>
        <w:spacing w:line="89" w:lineRule="exact"/>
        <w:ind w:left="991" w:right="-44"/>
        <w:rPr>
          <w:rFonts w:ascii="Cambria"/>
          <w:b w:val="0"/>
          <w:sz w:val="8"/>
        </w:rPr>
      </w:pPr>
      <w:r>
        <w:rPr>
          <w:rFonts w:ascii="Cambria"/>
          <w:b w:val="0"/>
          <w:noProof/>
          <w:position w:val="-1"/>
          <w:sz w:val="8"/>
        </w:rPr>
        <w:drawing>
          <wp:inline distT="0" distB="0" distL="0" distR="0">
            <wp:extent cx="8971542" cy="569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971542" cy="56959"/>
                    </a:xfrm>
                    <a:prstGeom prst="rect">
                      <a:avLst/>
                    </a:prstGeom>
                  </pic:spPr>
                </pic:pic>
              </a:graphicData>
            </a:graphic>
          </wp:inline>
        </w:drawing>
      </w:r>
    </w:p>
    <w:p w:rsidR="007359F6" w:rsidRDefault="004D7191">
      <w:pPr>
        <w:pStyle w:val="BodyText"/>
        <w:spacing w:before="93"/>
        <w:ind w:left="2666"/>
      </w:pPr>
      <w:r>
        <w:rPr>
          <w:color w:val="FF0000"/>
        </w:rPr>
        <w:t>Category</w:t>
      </w:r>
      <w:r>
        <w:rPr>
          <w:color w:val="FF0000"/>
          <w:spacing w:val="-2"/>
        </w:rPr>
        <w:t xml:space="preserve"> </w:t>
      </w:r>
      <w:r>
        <w:rPr>
          <w:color w:val="FF0000"/>
        </w:rPr>
        <w:t>1:</w:t>
      </w:r>
      <w:r>
        <w:rPr>
          <w:color w:val="FF0000"/>
          <w:spacing w:val="-5"/>
        </w:rPr>
        <w:t xml:space="preserve"> </w:t>
      </w:r>
      <w:r>
        <w:rPr>
          <w:color w:val="FF0000"/>
        </w:rPr>
        <w:t>Immediate</w:t>
      </w:r>
      <w:r>
        <w:rPr>
          <w:color w:val="FF0000"/>
          <w:spacing w:val="-2"/>
        </w:rPr>
        <w:t xml:space="preserve"> </w:t>
      </w:r>
      <w:r>
        <w:rPr>
          <w:color w:val="FF0000"/>
        </w:rPr>
        <w:t>reporting</w:t>
      </w:r>
      <w:r>
        <w:rPr>
          <w:color w:val="FF0000"/>
          <w:spacing w:val="-4"/>
        </w:rPr>
        <w:t xml:space="preserve"> </w:t>
      </w:r>
      <w:r>
        <w:rPr>
          <w:color w:val="FF0000"/>
        </w:rPr>
        <w:t>telephonically</w:t>
      </w:r>
      <w:r>
        <w:rPr>
          <w:color w:val="FF0000"/>
          <w:spacing w:val="-3"/>
        </w:rPr>
        <w:t xml:space="preserve"> </w:t>
      </w:r>
      <w:r>
        <w:rPr>
          <w:color w:val="FF0000"/>
        </w:rPr>
        <w:t>followed</w:t>
      </w:r>
      <w:r>
        <w:rPr>
          <w:color w:val="FF0000"/>
          <w:spacing w:val="-3"/>
        </w:rPr>
        <w:t xml:space="preserve"> </w:t>
      </w:r>
      <w:r>
        <w:rPr>
          <w:color w:val="FF0000"/>
        </w:rPr>
        <w:t>by</w:t>
      </w:r>
      <w:r>
        <w:rPr>
          <w:color w:val="FF0000"/>
          <w:spacing w:val="-3"/>
        </w:rPr>
        <w:t xml:space="preserve"> </w:t>
      </w:r>
      <w:r>
        <w:rPr>
          <w:color w:val="FF0000"/>
        </w:rPr>
        <w:t>written</w:t>
      </w:r>
      <w:r>
        <w:rPr>
          <w:color w:val="FF0000"/>
          <w:spacing w:val="-4"/>
        </w:rPr>
        <w:t xml:space="preserve"> </w:t>
      </w:r>
      <w:r>
        <w:rPr>
          <w:color w:val="FF0000"/>
        </w:rPr>
        <w:t>or</w:t>
      </w:r>
      <w:r>
        <w:rPr>
          <w:color w:val="FF0000"/>
          <w:spacing w:val="-3"/>
        </w:rPr>
        <w:t xml:space="preserve"> </w:t>
      </w:r>
      <w:r>
        <w:rPr>
          <w:color w:val="FF0000"/>
        </w:rPr>
        <w:t>electronic</w:t>
      </w:r>
      <w:r>
        <w:rPr>
          <w:color w:val="FF0000"/>
          <w:spacing w:val="-1"/>
        </w:rPr>
        <w:t xml:space="preserve"> </w:t>
      </w:r>
      <w:r>
        <w:rPr>
          <w:color w:val="FF0000"/>
        </w:rPr>
        <w:t>notification</w:t>
      </w:r>
      <w:r>
        <w:rPr>
          <w:color w:val="FF0000"/>
          <w:spacing w:val="-5"/>
        </w:rPr>
        <w:t xml:space="preserve"> </w:t>
      </w:r>
      <w:r>
        <w:rPr>
          <w:color w:val="FF0000"/>
        </w:rPr>
        <w:t>within</w:t>
      </w:r>
      <w:r>
        <w:rPr>
          <w:color w:val="FF0000"/>
          <w:spacing w:val="-3"/>
        </w:rPr>
        <w:t xml:space="preserve"> </w:t>
      </w:r>
      <w:r>
        <w:rPr>
          <w:color w:val="FF0000"/>
        </w:rPr>
        <w:t>24hrs</w:t>
      </w:r>
      <w:r>
        <w:rPr>
          <w:color w:val="FF0000"/>
          <w:spacing w:val="-3"/>
        </w:rPr>
        <w:t xml:space="preserve"> </w:t>
      </w:r>
      <w:r>
        <w:rPr>
          <w:color w:val="FF0000"/>
        </w:rPr>
        <w:t>of</w:t>
      </w:r>
      <w:r>
        <w:rPr>
          <w:color w:val="FF0000"/>
          <w:spacing w:val="-3"/>
        </w:rPr>
        <w:t xml:space="preserve"> </w:t>
      </w:r>
      <w:r>
        <w:rPr>
          <w:color w:val="FF0000"/>
        </w:rPr>
        <w:t>diagnosing</w:t>
      </w:r>
      <w:r>
        <w:rPr>
          <w:color w:val="FF0000"/>
          <w:spacing w:val="-2"/>
        </w:rPr>
        <w:t xml:space="preserve"> </w:t>
      </w:r>
      <w:r>
        <w:rPr>
          <w:color w:val="FF0000"/>
        </w:rPr>
        <w:t>a</w:t>
      </w:r>
      <w:r>
        <w:rPr>
          <w:color w:val="FF0000"/>
          <w:spacing w:val="-5"/>
        </w:rPr>
        <w:t xml:space="preserve"> </w:t>
      </w:r>
      <w:r>
        <w:rPr>
          <w:color w:val="FF0000"/>
        </w:rPr>
        <w:t>case</w:t>
      </w:r>
    </w:p>
    <w:p w:rsidR="007359F6" w:rsidRDefault="007359F6">
      <w:pPr>
        <w:spacing w:before="8"/>
        <w:rPr>
          <w:b/>
        </w:rPr>
      </w:pPr>
    </w:p>
    <w:p w:rsidR="007359F6" w:rsidRDefault="004D7191">
      <w:pPr>
        <w:pStyle w:val="Title"/>
      </w:pPr>
      <w:r>
        <w:t>CORONAVIRUS</w:t>
      </w:r>
      <w:r>
        <w:rPr>
          <w:spacing w:val="-6"/>
        </w:rPr>
        <w:t xml:space="preserve"> </w:t>
      </w:r>
      <w:r>
        <w:t>DISEASE-2019</w:t>
      </w:r>
      <w:r>
        <w:rPr>
          <w:spacing w:val="-7"/>
        </w:rPr>
        <w:t xml:space="preserve"> </w:t>
      </w:r>
      <w:r>
        <w:t>(COVID-19)</w:t>
      </w:r>
    </w:p>
    <w:p w:rsidR="007359F6" w:rsidRDefault="007359F6">
      <w:pPr>
        <w:rPr>
          <w:b/>
          <w:sz w:val="28"/>
        </w:rPr>
      </w:pPr>
    </w:p>
    <w:tbl>
      <w:tblPr>
        <w:tblW w:w="157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2150"/>
        <w:gridCol w:w="2800"/>
        <w:gridCol w:w="4850"/>
        <w:gridCol w:w="2800"/>
      </w:tblGrid>
      <w:tr w:rsidR="007359F6" w:rsidTr="00511891">
        <w:trPr>
          <w:trHeight w:val="726"/>
        </w:trPr>
        <w:tc>
          <w:tcPr>
            <w:tcW w:w="3125" w:type="dxa"/>
          </w:tcPr>
          <w:p w:rsidR="00AD2AFE" w:rsidRDefault="00AD2AFE" w:rsidP="00AD2AFE">
            <w:pPr>
              <w:pStyle w:val="TableParagraph"/>
              <w:spacing w:line="246" w:lineRule="exact"/>
              <w:ind w:left="105"/>
              <w:jc w:val="center"/>
              <w:rPr>
                <w:b/>
                <w:color w:val="E26C09"/>
              </w:rPr>
            </w:pPr>
          </w:p>
          <w:p w:rsidR="007359F6" w:rsidRDefault="004D7191" w:rsidP="00AD2AFE">
            <w:pPr>
              <w:pStyle w:val="TableParagraph"/>
              <w:spacing w:line="246" w:lineRule="exact"/>
              <w:ind w:left="105"/>
              <w:jc w:val="center"/>
              <w:rPr>
                <w:b/>
              </w:rPr>
            </w:pPr>
            <w:r>
              <w:rPr>
                <w:b/>
                <w:color w:val="E26C09"/>
              </w:rPr>
              <w:t>Why</w:t>
            </w:r>
            <w:r>
              <w:rPr>
                <w:b/>
                <w:color w:val="E26C09"/>
                <w:spacing w:val="-3"/>
              </w:rPr>
              <w:t xml:space="preserve"> </w:t>
            </w:r>
            <w:r>
              <w:rPr>
                <w:b/>
                <w:color w:val="E26C09"/>
              </w:rPr>
              <w:t>is</w:t>
            </w:r>
            <w:r>
              <w:rPr>
                <w:b/>
                <w:color w:val="E26C09"/>
                <w:spacing w:val="-4"/>
              </w:rPr>
              <w:t xml:space="preserve"> </w:t>
            </w:r>
            <w:r w:rsidR="00D94190">
              <w:rPr>
                <w:b/>
                <w:color w:val="E26C09"/>
              </w:rPr>
              <w:t>S</w:t>
            </w:r>
            <w:r>
              <w:rPr>
                <w:b/>
                <w:color w:val="E26C09"/>
              </w:rPr>
              <w:t>urveillance</w:t>
            </w:r>
            <w:r>
              <w:rPr>
                <w:b/>
                <w:color w:val="E26C09"/>
                <w:spacing w:val="-3"/>
              </w:rPr>
              <w:t xml:space="preserve"> </w:t>
            </w:r>
            <w:r w:rsidR="00D94190">
              <w:rPr>
                <w:b/>
                <w:color w:val="E26C09"/>
              </w:rPr>
              <w:t>N</w:t>
            </w:r>
            <w:r>
              <w:rPr>
                <w:b/>
                <w:color w:val="E26C09"/>
              </w:rPr>
              <w:t>ecessary?</w:t>
            </w:r>
          </w:p>
        </w:tc>
        <w:tc>
          <w:tcPr>
            <w:tcW w:w="2150" w:type="dxa"/>
          </w:tcPr>
          <w:p w:rsidR="00AD2AFE" w:rsidRDefault="00AD2AFE" w:rsidP="00AD2AFE">
            <w:pPr>
              <w:pStyle w:val="TableParagraph"/>
              <w:spacing w:line="216" w:lineRule="auto"/>
              <w:ind w:left="84" w:right="474"/>
              <w:jc w:val="center"/>
              <w:rPr>
                <w:b/>
                <w:color w:val="E26C09"/>
              </w:rPr>
            </w:pPr>
          </w:p>
          <w:p w:rsidR="007359F6" w:rsidRDefault="00AD2AFE" w:rsidP="00AD2AFE">
            <w:pPr>
              <w:pStyle w:val="TableParagraph"/>
              <w:spacing w:line="216" w:lineRule="auto"/>
              <w:ind w:left="84" w:right="474"/>
              <w:jc w:val="center"/>
              <w:rPr>
                <w:b/>
                <w:color w:val="E26C09"/>
              </w:rPr>
            </w:pPr>
            <w:r>
              <w:rPr>
                <w:b/>
                <w:color w:val="E26C09"/>
              </w:rPr>
              <w:t>Who Must Notify and When?</w:t>
            </w:r>
          </w:p>
          <w:p w:rsidR="00AD2AFE" w:rsidRDefault="00AD2AFE" w:rsidP="00AD2AFE">
            <w:pPr>
              <w:pStyle w:val="TableParagraph"/>
              <w:spacing w:line="216" w:lineRule="auto"/>
              <w:ind w:left="84" w:right="474"/>
              <w:jc w:val="center"/>
              <w:rPr>
                <w:b/>
              </w:rPr>
            </w:pPr>
          </w:p>
        </w:tc>
        <w:tc>
          <w:tcPr>
            <w:tcW w:w="2800" w:type="dxa"/>
          </w:tcPr>
          <w:p w:rsidR="00AD2AFE" w:rsidRDefault="00AD2AFE" w:rsidP="00AD2AFE">
            <w:pPr>
              <w:pStyle w:val="TableParagraph"/>
              <w:spacing w:line="225" w:lineRule="exact"/>
              <w:ind w:left="106"/>
              <w:jc w:val="center"/>
              <w:rPr>
                <w:b/>
                <w:color w:val="E26C09"/>
              </w:rPr>
            </w:pPr>
          </w:p>
          <w:p w:rsidR="007359F6" w:rsidRDefault="00D94190" w:rsidP="00AD2AFE">
            <w:pPr>
              <w:pStyle w:val="TableParagraph"/>
              <w:spacing w:line="225" w:lineRule="exact"/>
              <w:ind w:left="106"/>
              <w:jc w:val="center"/>
              <w:rPr>
                <w:b/>
              </w:rPr>
            </w:pPr>
            <w:r>
              <w:rPr>
                <w:b/>
                <w:color w:val="E26C09"/>
              </w:rPr>
              <w:t>Suspected Case Definition</w:t>
            </w:r>
          </w:p>
        </w:tc>
        <w:tc>
          <w:tcPr>
            <w:tcW w:w="4850" w:type="dxa"/>
          </w:tcPr>
          <w:p w:rsidR="00AD2AFE" w:rsidRDefault="00AD2AFE" w:rsidP="00AD2AFE">
            <w:pPr>
              <w:pStyle w:val="TableParagraph"/>
              <w:spacing w:line="246" w:lineRule="exact"/>
              <w:ind w:left="97"/>
              <w:jc w:val="center"/>
              <w:rPr>
                <w:b/>
                <w:color w:val="E26C09"/>
              </w:rPr>
            </w:pPr>
          </w:p>
          <w:p w:rsidR="007359F6" w:rsidRDefault="004D7191" w:rsidP="00AD2AFE">
            <w:pPr>
              <w:pStyle w:val="TableParagraph"/>
              <w:spacing w:line="246" w:lineRule="exact"/>
              <w:ind w:left="97"/>
              <w:jc w:val="center"/>
              <w:rPr>
                <w:b/>
              </w:rPr>
            </w:pPr>
            <w:r>
              <w:rPr>
                <w:b/>
                <w:color w:val="E26C09"/>
              </w:rPr>
              <w:t>Probable</w:t>
            </w:r>
            <w:r>
              <w:rPr>
                <w:b/>
                <w:color w:val="E26C09"/>
                <w:spacing w:val="-4"/>
              </w:rPr>
              <w:t xml:space="preserve"> </w:t>
            </w:r>
            <w:r w:rsidR="00D94190">
              <w:rPr>
                <w:b/>
                <w:color w:val="E26C09"/>
              </w:rPr>
              <w:t>C</w:t>
            </w:r>
            <w:r>
              <w:rPr>
                <w:b/>
                <w:color w:val="E26C09"/>
              </w:rPr>
              <w:t>ase</w:t>
            </w:r>
            <w:r>
              <w:rPr>
                <w:b/>
                <w:color w:val="E26C09"/>
                <w:spacing w:val="-4"/>
              </w:rPr>
              <w:t xml:space="preserve"> </w:t>
            </w:r>
            <w:r w:rsidR="00D94190">
              <w:rPr>
                <w:b/>
                <w:color w:val="E26C09"/>
              </w:rPr>
              <w:t>D</w:t>
            </w:r>
            <w:r>
              <w:rPr>
                <w:b/>
                <w:color w:val="E26C09"/>
              </w:rPr>
              <w:t>efinition</w:t>
            </w:r>
          </w:p>
        </w:tc>
        <w:tc>
          <w:tcPr>
            <w:tcW w:w="2800" w:type="dxa"/>
          </w:tcPr>
          <w:p w:rsidR="00AD2AFE" w:rsidRDefault="00AD2AFE" w:rsidP="00AD2AFE">
            <w:pPr>
              <w:pStyle w:val="TableParagraph"/>
              <w:spacing w:line="246" w:lineRule="exact"/>
              <w:ind w:left="107"/>
              <w:jc w:val="center"/>
              <w:rPr>
                <w:b/>
                <w:color w:val="E26C09"/>
              </w:rPr>
            </w:pPr>
          </w:p>
          <w:p w:rsidR="007359F6" w:rsidRDefault="004D7191" w:rsidP="00AD2AFE">
            <w:pPr>
              <w:pStyle w:val="TableParagraph"/>
              <w:spacing w:line="246" w:lineRule="exact"/>
              <w:ind w:left="107"/>
              <w:jc w:val="center"/>
              <w:rPr>
                <w:b/>
              </w:rPr>
            </w:pPr>
            <w:r>
              <w:rPr>
                <w:b/>
                <w:color w:val="E26C09"/>
              </w:rPr>
              <w:t>Confirmed</w:t>
            </w:r>
            <w:r>
              <w:rPr>
                <w:b/>
                <w:color w:val="E26C09"/>
                <w:spacing w:val="-7"/>
              </w:rPr>
              <w:t xml:space="preserve"> </w:t>
            </w:r>
            <w:r w:rsidR="00D94190">
              <w:rPr>
                <w:b/>
                <w:color w:val="E26C09"/>
              </w:rPr>
              <w:t>C</w:t>
            </w:r>
            <w:r>
              <w:rPr>
                <w:b/>
                <w:color w:val="E26C09"/>
              </w:rPr>
              <w:t>ase</w:t>
            </w:r>
            <w:r>
              <w:rPr>
                <w:b/>
                <w:color w:val="E26C09"/>
                <w:spacing w:val="-3"/>
              </w:rPr>
              <w:t xml:space="preserve"> </w:t>
            </w:r>
            <w:r w:rsidR="00D94190">
              <w:rPr>
                <w:b/>
                <w:color w:val="E26C09"/>
              </w:rPr>
              <w:t>D</w:t>
            </w:r>
            <w:r>
              <w:rPr>
                <w:b/>
                <w:color w:val="E26C09"/>
              </w:rPr>
              <w:t>efinition</w:t>
            </w:r>
          </w:p>
        </w:tc>
      </w:tr>
      <w:tr w:rsidR="007359F6" w:rsidTr="00124062">
        <w:trPr>
          <w:trHeight w:val="194"/>
        </w:trPr>
        <w:tc>
          <w:tcPr>
            <w:tcW w:w="15725" w:type="dxa"/>
            <w:gridSpan w:val="5"/>
            <w:shd w:val="clear" w:color="auto" w:fill="BEBEBE"/>
          </w:tcPr>
          <w:p w:rsidR="007359F6" w:rsidRDefault="007359F6">
            <w:pPr>
              <w:pStyle w:val="TableParagraph"/>
              <w:rPr>
                <w:rFonts w:ascii="Times New Roman"/>
                <w:sz w:val="12"/>
              </w:rPr>
            </w:pPr>
          </w:p>
        </w:tc>
      </w:tr>
      <w:tr w:rsidR="007359F6" w:rsidTr="00511891">
        <w:trPr>
          <w:trHeight w:val="232"/>
        </w:trPr>
        <w:tc>
          <w:tcPr>
            <w:tcW w:w="3125" w:type="dxa"/>
            <w:tcBorders>
              <w:bottom w:val="nil"/>
            </w:tcBorders>
          </w:tcPr>
          <w:p w:rsidR="00D94190" w:rsidRDefault="00D94190" w:rsidP="00436035">
            <w:pPr>
              <w:spacing w:line="216" w:lineRule="auto"/>
              <w:ind w:left="100" w:right="84"/>
              <w:jc w:val="both"/>
              <w:rPr>
                <w:rFonts w:eastAsiaTheme="minorHAnsi"/>
                <w:sz w:val="20"/>
                <w:szCs w:val="20"/>
              </w:rPr>
            </w:pPr>
            <w:r>
              <w:rPr>
                <w:sz w:val="20"/>
                <w:szCs w:val="20"/>
              </w:rPr>
              <w:t>Severe acute respiratory syndrome coronavirus 2 (SARS-CoV-2) is the causative virus of coronavirus disease 2019 (COVID-19). WHO has declared a global pandemic.</w:t>
            </w:r>
          </w:p>
          <w:p w:rsidR="00D94190" w:rsidRDefault="00D94190" w:rsidP="00436035">
            <w:pPr>
              <w:spacing w:line="216" w:lineRule="auto"/>
              <w:ind w:left="100" w:right="84"/>
              <w:jc w:val="both"/>
              <w:rPr>
                <w:sz w:val="20"/>
                <w:szCs w:val="20"/>
              </w:rPr>
            </w:pPr>
          </w:p>
          <w:p w:rsidR="00D94190" w:rsidRDefault="00D94190" w:rsidP="00436035">
            <w:pPr>
              <w:spacing w:line="216" w:lineRule="auto"/>
              <w:ind w:left="100" w:right="84"/>
              <w:jc w:val="both"/>
              <w:rPr>
                <w:sz w:val="20"/>
                <w:szCs w:val="20"/>
              </w:rPr>
            </w:pPr>
            <w:r>
              <w:rPr>
                <w:sz w:val="20"/>
                <w:szCs w:val="20"/>
              </w:rPr>
              <w:t xml:space="preserve">Limited data suggest clinical manifestations of COVID-19 are generally milder in children than adults. However, reports from Europe and North America describe clusters of children and adolescents requiring admission to intensive care with a multisystem inflammatory syndrome (MIS-C). </w:t>
            </w:r>
          </w:p>
          <w:p w:rsidR="00D94190" w:rsidRDefault="00D94190" w:rsidP="00436035">
            <w:pPr>
              <w:spacing w:line="216" w:lineRule="auto"/>
              <w:ind w:left="100" w:right="84"/>
              <w:jc w:val="both"/>
              <w:rPr>
                <w:sz w:val="20"/>
                <w:szCs w:val="20"/>
              </w:rPr>
            </w:pPr>
          </w:p>
          <w:p w:rsidR="007359F6" w:rsidRDefault="00D94190" w:rsidP="00436035">
            <w:pPr>
              <w:spacing w:line="216" w:lineRule="auto"/>
              <w:ind w:left="100" w:right="84"/>
              <w:jc w:val="both"/>
              <w:rPr>
                <w:sz w:val="20"/>
              </w:rPr>
            </w:pPr>
            <w:r>
              <w:rPr>
                <w:sz w:val="20"/>
                <w:szCs w:val="20"/>
              </w:rPr>
              <w:t>It is essential to report and characterize this syndrome</w:t>
            </w:r>
            <w:r>
              <w:rPr>
                <w:sz w:val="20"/>
                <w:szCs w:val="20"/>
              </w:rPr>
              <w:t xml:space="preserve"> </w:t>
            </w:r>
            <w:r>
              <w:rPr>
                <w:sz w:val="20"/>
                <w:szCs w:val="20"/>
              </w:rPr>
              <w:t>including</w:t>
            </w:r>
            <w:r>
              <w:rPr>
                <w:sz w:val="20"/>
                <w:szCs w:val="20"/>
              </w:rPr>
              <w:t xml:space="preserve"> </w:t>
            </w:r>
            <w:r>
              <w:rPr>
                <w:sz w:val="20"/>
                <w:szCs w:val="20"/>
              </w:rPr>
              <w:t>clinical presentation, risk factors, severity, and outcomes.</w:t>
            </w:r>
          </w:p>
        </w:tc>
        <w:tc>
          <w:tcPr>
            <w:tcW w:w="2150" w:type="dxa"/>
            <w:tcBorders>
              <w:bottom w:val="nil"/>
            </w:tcBorders>
          </w:tcPr>
          <w:p w:rsidR="00D94190" w:rsidRDefault="00D94190" w:rsidP="00436035">
            <w:pPr>
              <w:spacing w:line="216" w:lineRule="auto"/>
              <w:ind w:left="80" w:right="171"/>
              <w:jc w:val="both"/>
              <w:rPr>
                <w:b/>
                <w:bCs/>
                <w:sz w:val="20"/>
                <w:szCs w:val="20"/>
              </w:rPr>
            </w:pPr>
            <w:r>
              <w:rPr>
                <w:sz w:val="20"/>
                <w:szCs w:val="20"/>
              </w:rPr>
              <w:t xml:space="preserve">The healthcare worker responsible for the patient should notify authorities immediately of a </w:t>
            </w:r>
            <w:r>
              <w:rPr>
                <w:b/>
                <w:bCs/>
                <w:sz w:val="20"/>
                <w:szCs w:val="20"/>
              </w:rPr>
              <w:t>probable or confirmed case.</w:t>
            </w:r>
          </w:p>
          <w:p w:rsidR="00D94190" w:rsidRDefault="00D94190" w:rsidP="00436035">
            <w:pPr>
              <w:spacing w:line="216" w:lineRule="auto"/>
              <w:ind w:left="80" w:right="171"/>
              <w:jc w:val="both"/>
              <w:rPr>
                <w:rFonts w:eastAsiaTheme="minorHAnsi"/>
                <w:b/>
                <w:bCs/>
                <w:sz w:val="20"/>
                <w:szCs w:val="20"/>
              </w:rPr>
            </w:pPr>
          </w:p>
          <w:p w:rsidR="007359F6" w:rsidRDefault="00D94190" w:rsidP="00436035">
            <w:pPr>
              <w:pStyle w:val="TableParagraph"/>
              <w:spacing w:line="212" w:lineRule="exact"/>
              <w:ind w:left="84"/>
              <w:jc w:val="both"/>
              <w:rPr>
                <w:sz w:val="20"/>
              </w:rPr>
            </w:pPr>
            <w:r>
              <w:rPr>
                <w:sz w:val="20"/>
                <w:szCs w:val="20"/>
              </w:rPr>
              <w:t>Outcome of patient should be updated if status changes following notification.</w:t>
            </w:r>
          </w:p>
        </w:tc>
        <w:tc>
          <w:tcPr>
            <w:tcW w:w="2800" w:type="dxa"/>
            <w:tcBorders>
              <w:bottom w:val="nil"/>
            </w:tcBorders>
          </w:tcPr>
          <w:p w:rsidR="00D94190" w:rsidRDefault="00D94190" w:rsidP="00436035">
            <w:pPr>
              <w:spacing w:line="216" w:lineRule="auto"/>
              <w:ind w:left="87" w:right="-359"/>
              <w:jc w:val="both"/>
              <w:rPr>
                <w:rFonts w:eastAsiaTheme="minorHAnsi"/>
                <w:b/>
                <w:bCs/>
                <w:sz w:val="20"/>
                <w:szCs w:val="20"/>
              </w:rPr>
            </w:pPr>
            <w:r>
              <w:rPr>
                <w:b/>
                <w:bCs/>
                <w:sz w:val="20"/>
                <w:szCs w:val="20"/>
              </w:rPr>
              <w:t>Not notifiable</w:t>
            </w:r>
          </w:p>
          <w:p w:rsidR="00D94190" w:rsidRDefault="00D94190" w:rsidP="00436035">
            <w:pPr>
              <w:spacing w:line="216" w:lineRule="auto"/>
              <w:ind w:left="87" w:right="-359"/>
              <w:jc w:val="both"/>
              <w:rPr>
                <w:sz w:val="20"/>
                <w:szCs w:val="20"/>
              </w:rPr>
            </w:pPr>
          </w:p>
          <w:p w:rsidR="00D94190" w:rsidRDefault="00D94190" w:rsidP="00436035">
            <w:pPr>
              <w:spacing w:line="192" w:lineRule="auto"/>
              <w:ind w:left="120" w:right="187"/>
              <w:jc w:val="both"/>
              <w:rPr>
                <w:sz w:val="20"/>
                <w:szCs w:val="20"/>
              </w:rPr>
            </w:pPr>
            <w:r>
              <w:rPr>
                <w:sz w:val="20"/>
                <w:szCs w:val="20"/>
              </w:rPr>
              <w:t>Any person presenting with an acute (≤10 days) respiratory tract infection or other clinical illness compatible with COVID-19</w:t>
            </w:r>
            <w:r w:rsidR="00436035">
              <w:rPr>
                <w:sz w:val="20"/>
                <w:szCs w:val="20"/>
              </w:rPr>
              <w:t>.</w:t>
            </w:r>
          </w:p>
          <w:p w:rsidR="00D94190" w:rsidRDefault="00D94190" w:rsidP="00436035">
            <w:pPr>
              <w:spacing w:line="192" w:lineRule="auto"/>
              <w:ind w:left="120" w:right="187"/>
              <w:jc w:val="both"/>
              <w:rPr>
                <w:sz w:val="20"/>
                <w:szCs w:val="20"/>
              </w:rPr>
            </w:pPr>
          </w:p>
          <w:p w:rsidR="00D94190" w:rsidRDefault="00D94190" w:rsidP="00436035">
            <w:pPr>
              <w:spacing w:line="192" w:lineRule="auto"/>
              <w:ind w:left="120" w:right="187"/>
              <w:jc w:val="both"/>
              <w:rPr>
                <w:sz w:val="20"/>
                <w:szCs w:val="20"/>
              </w:rPr>
            </w:pPr>
            <w:r>
              <w:rPr>
                <w:sz w:val="20"/>
                <w:szCs w:val="20"/>
              </w:rPr>
              <w:t xml:space="preserve">Symptoms include ANY of the following respiratory symptoms: cough, sore throat, shortness of breath, anosmia (loss of sense of smell) or </w:t>
            </w:r>
            <w:proofErr w:type="spellStart"/>
            <w:r>
              <w:rPr>
                <w:sz w:val="20"/>
                <w:szCs w:val="20"/>
              </w:rPr>
              <w:t>dysgeusia</w:t>
            </w:r>
            <w:proofErr w:type="spellEnd"/>
            <w:r>
              <w:rPr>
                <w:sz w:val="20"/>
                <w:szCs w:val="20"/>
              </w:rPr>
              <w:t xml:space="preserve"> (alteration of the sense of taste), with or without other symptoms (which may include fever, weakness, myalgia, or </w:t>
            </w:r>
            <w:proofErr w:type="spellStart"/>
            <w:r>
              <w:rPr>
                <w:sz w:val="20"/>
                <w:szCs w:val="20"/>
              </w:rPr>
              <w:t>diarrhoea</w:t>
            </w:r>
            <w:proofErr w:type="spellEnd"/>
            <w:r>
              <w:rPr>
                <w:sz w:val="20"/>
                <w:szCs w:val="20"/>
              </w:rPr>
              <w:t>)</w:t>
            </w:r>
            <w:r>
              <w:rPr>
                <w:sz w:val="20"/>
                <w:szCs w:val="20"/>
              </w:rPr>
              <w:t>.</w:t>
            </w:r>
          </w:p>
          <w:p w:rsidR="007359F6" w:rsidRDefault="007359F6" w:rsidP="00436035">
            <w:pPr>
              <w:pStyle w:val="TableParagraph"/>
              <w:spacing w:line="212" w:lineRule="exact"/>
              <w:ind w:left="92"/>
              <w:jc w:val="both"/>
              <w:rPr>
                <w:sz w:val="20"/>
              </w:rPr>
            </w:pPr>
          </w:p>
        </w:tc>
        <w:tc>
          <w:tcPr>
            <w:tcW w:w="4850" w:type="dxa"/>
            <w:tcBorders>
              <w:bottom w:val="nil"/>
            </w:tcBorders>
          </w:tcPr>
          <w:p w:rsidR="00D94190" w:rsidRDefault="00D94190" w:rsidP="00436035">
            <w:pPr>
              <w:spacing w:line="216" w:lineRule="auto"/>
              <w:ind w:left="87" w:right="171"/>
              <w:jc w:val="both"/>
              <w:rPr>
                <w:rFonts w:eastAsiaTheme="minorHAnsi"/>
                <w:sz w:val="20"/>
                <w:szCs w:val="20"/>
              </w:rPr>
            </w:pPr>
            <w:r>
              <w:rPr>
                <w:sz w:val="20"/>
                <w:szCs w:val="20"/>
              </w:rPr>
              <w:t xml:space="preserve">A person of any age positive for SARS-CoV-2 using an </w:t>
            </w:r>
            <w:r>
              <w:rPr>
                <w:b/>
                <w:bCs/>
                <w:sz w:val="20"/>
                <w:szCs w:val="20"/>
                <w:u w:val="single"/>
              </w:rPr>
              <w:t>antigen based test</w:t>
            </w:r>
            <w:r>
              <w:rPr>
                <w:b/>
                <w:bCs/>
                <w:sz w:val="20"/>
                <w:szCs w:val="20"/>
                <w:u w:val="single"/>
                <w:vertAlign w:val="superscript"/>
              </w:rPr>
              <w:t>1</w:t>
            </w:r>
            <w:r>
              <w:rPr>
                <w:sz w:val="20"/>
                <w:szCs w:val="20"/>
              </w:rPr>
              <w:t xml:space="preserve"> AND that is asymptomatic AND not a close contact</w:t>
            </w:r>
            <w:r>
              <w:rPr>
                <w:sz w:val="20"/>
                <w:szCs w:val="20"/>
                <w:vertAlign w:val="superscript"/>
              </w:rPr>
              <w:t>2</w:t>
            </w:r>
            <w:r>
              <w:rPr>
                <w:sz w:val="20"/>
                <w:szCs w:val="20"/>
              </w:rPr>
              <w:t xml:space="preserve"> of a confirmed case</w:t>
            </w:r>
          </w:p>
          <w:p w:rsidR="00D94190" w:rsidRDefault="00D94190" w:rsidP="00436035">
            <w:pPr>
              <w:spacing w:line="216" w:lineRule="auto"/>
              <w:ind w:left="87" w:right="171"/>
              <w:jc w:val="both"/>
              <w:rPr>
                <w:sz w:val="20"/>
                <w:szCs w:val="20"/>
              </w:rPr>
            </w:pPr>
          </w:p>
          <w:p w:rsidR="00D94190" w:rsidRDefault="00D94190" w:rsidP="00436035">
            <w:pPr>
              <w:spacing w:line="216" w:lineRule="auto"/>
              <w:ind w:left="87" w:right="171"/>
              <w:jc w:val="both"/>
              <w:rPr>
                <w:sz w:val="20"/>
                <w:szCs w:val="20"/>
              </w:rPr>
            </w:pPr>
            <w:r>
              <w:rPr>
                <w:sz w:val="20"/>
                <w:szCs w:val="20"/>
              </w:rPr>
              <w:t>OR</w:t>
            </w:r>
          </w:p>
          <w:p w:rsidR="00D94190" w:rsidRDefault="00D94190" w:rsidP="00436035">
            <w:pPr>
              <w:spacing w:line="216" w:lineRule="auto"/>
              <w:ind w:left="87" w:right="171"/>
              <w:jc w:val="both"/>
              <w:rPr>
                <w:sz w:val="20"/>
                <w:szCs w:val="20"/>
              </w:rPr>
            </w:pPr>
          </w:p>
          <w:p w:rsidR="00D94190" w:rsidRDefault="00D94190" w:rsidP="00436035">
            <w:pPr>
              <w:spacing w:line="216" w:lineRule="auto"/>
              <w:ind w:left="87" w:right="171"/>
              <w:jc w:val="both"/>
              <w:rPr>
                <w:sz w:val="20"/>
                <w:szCs w:val="20"/>
              </w:rPr>
            </w:pPr>
            <w:r>
              <w:rPr>
                <w:sz w:val="20"/>
                <w:szCs w:val="20"/>
              </w:rPr>
              <w:t>A person of any age that has COVID-19 related symptoms (suspected case) AND that is a close contact</w:t>
            </w:r>
            <w:r>
              <w:rPr>
                <w:sz w:val="20"/>
                <w:szCs w:val="20"/>
                <w:vertAlign w:val="superscript"/>
              </w:rPr>
              <w:t>2</w:t>
            </w:r>
            <w:r>
              <w:rPr>
                <w:sz w:val="20"/>
                <w:szCs w:val="20"/>
              </w:rPr>
              <w:t xml:space="preserve"> of a confirmed case</w:t>
            </w:r>
          </w:p>
          <w:p w:rsidR="00D94190" w:rsidRDefault="00D94190" w:rsidP="00436035">
            <w:pPr>
              <w:spacing w:line="216" w:lineRule="auto"/>
              <w:ind w:left="87" w:right="171"/>
              <w:jc w:val="both"/>
              <w:rPr>
                <w:sz w:val="20"/>
                <w:szCs w:val="20"/>
              </w:rPr>
            </w:pPr>
          </w:p>
          <w:p w:rsidR="00D94190" w:rsidRDefault="00D94190" w:rsidP="00436035">
            <w:pPr>
              <w:spacing w:line="216" w:lineRule="auto"/>
              <w:ind w:left="87" w:right="171"/>
              <w:jc w:val="both"/>
              <w:rPr>
                <w:sz w:val="20"/>
                <w:szCs w:val="20"/>
              </w:rPr>
            </w:pPr>
            <w:r>
              <w:rPr>
                <w:sz w:val="20"/>
                <w:szCs w:val="20"/>
              </w:rPr>
              <w:t>OR</w:t>
            </w:r>
          </w:p>
          <w:p w:rsidR="00D94190" w:rsidRDefault="00D94190" w:rsidP="00436035">
            <w:pPr>
              <w:spacing w:line="216" w:lineRule="auto"/>
              <w:ind w:left="87" w:right="171"/>
              <w:jc w:val="both"/>
              <w:rPr>
                <w:sz w:val="20"/>
                <w:szCs w:val="20"/>
              </w:rPr>
            </w:pPr>
          </w:p>
          <w:p w:rsidR="00D94190" w:rsidRDefault="00D94190" w:rsidP="00436035">
            <w:pPr>
              <w:spacing w:line="216" w:lineRule="auto"/>
              <w:ind w:left="87" w:right="171"/>
              <w:jc w:val="both"/>
              <w:rPr>
                <w:sz w:val="20"/>
                <w:szCs w:val="20"/>
                <w:vertAlign w:val="superscript"/>
              </w:rPr>
            </w:pPr>
            <w:r>
              <w:rPr>
                <w:sz w:val="20"/>
                <w:szCs w:val="20"/>
              </w:rPr>
              <w:t>A person aged 0-19 years meeting the case definition of multisystem inflammatory syndrome in children (MIS-C)</w:t>
            </w:r>
            <w:r>
              <w:rPr>
                <w:sz w:val="20"/>
                <w:szCs w:val="20"/>
                <w:vertAlign w:val="superscript"/>
              </w:rPr>
              <w:t>3</w:t>
            </w:r>
          </w:p>
          <w:p w:rsidR="00D94190" w:rsidRDefault="00D94190" w:rsidP="00436035">
            <w:pPr>
              <w:spacing w:line="216" w:lineRule="auto"/>
              <w:ind w:left="87" w:right="171"/>
              <w:jc w:val="both"/>
              <w:rPr>
                <w:sz w:val="20"/>
                <w:szCs w:val="20"/>
              </w:rPr>
            </w:pPr>
            <w:r>
              <w:rPr>
                <w:sz w:val="20"/>
                <w:szCs w:val="20"/>
              </w:rPr>
              <w:t>AND</w:t>
            </w:r>
          </w:p>
          <w:p w:rsidR="00D94190" w:rsidRDefault="00D94190" w:rsidP="00436035">
            <w:pPr>
              <w:spacing w:line="216" w:lineRule="auto"/>
              <w:ind w:left="87" w:right="171"/>
              <w:jc w:val="both"/>
              <w:rPr>
                <w:sz w:val="20"/>
                <w:szCs w:val="20"/>
              </w:rPr>
            </w:pPr>
            <w:r>
              <w:rPr>
                <w:sz w:val="20"/>
                <w:szCs w:val="20"/>
              </w:rPr>
              <w:t>with positive SARS-CoV-2 antibody or antigen based</w:t>
            </w:r>
            <w:r>
              <w:rPr>
                <w:b/>
                <w:bCs/>
                <w:sz w:val="20"/>
                <w:szCs w:val="20"/>
                <w:vertAlign w:val="superscript"/>
              </w:rPr>
              <w:t>1</w:t>
            </w:r>
            <w:r>
              <w:rPr>
                <w:sz w:val="20"/>
                <w:szCs w:val="20"/>
              </w:rPr>
              <w:t xml:space="preserve"> test or close contact</w:t>
            </w:r>
            <w:r>
              <w:rPr>
                <w:sz w:val="20"/>
                <w:szCs w:val="20"/>
                <w:vertAlign w:val="superscript"/>
              </w:rPr>
              <w:t>2</w:t>
            </w:r>
            <w:r>
              <w:rPr>
                <w:sz w:val="20"/>
                <w:szCs w:val="20"/>
              </w:rPr>
              <w:t xml:space="preserve"> of a confirmed case</w:t>
            </w:r>
            <w:r>
              <w:rPr>
                <w:sz w:val="20"/>
                <w:szCs w:val="20"/>
                <w:vertAlign w:val="superscript"/>
              </w:rPr>
              <w:t>2</w:t>
            </w:r>
            <w:r>
              <w:rPr>
                <w:sz w:val="20"/>
                <w:szCs w:val="20"/>
              </w:rPr>
              <w:t>; but SARS-CoV-2 PCR negative or PCR not done</w:t>
            </w:r>
            <w:r w:rsidR="00436035">
              <w:rPr>
                <w:sz w:val="20"/>
                <w:szCs w:val="20"/>
              </w:rPr>
              <w:t>.</w:t>
            </w:r>
          </w:p>
          <w:p w:rsidR="007359F6" w:rsidRDefault="007359F6" w:rsidP="00436035">
            <w:pPr>
              <w:pStyle w:val="TableParagraph"/>
              <w:spacing w:line="212" w:lineRule="exact"/>
              <w:ind w:left="92"/>
              <w:jc w:val="both"/>
              <w:rPr>
                <w:sz w:val="20"/>
              </w:rPr>
            </w:pPr>
          </w:p>
        </w:tc>
        <w:tc>
          <w:tcPr>
            <w:tcW w:w="2800" w:type="dxa"/>
            <w:tcBorders>
              <w:bottom w:val="nil"/>
            </w:tcBorders>
          </w:tcPr>
          <w:p w:rsidR="00D94190" w:rsidRDefault="00D94190" w:rsidP="00436035">
            <w:pPr>
              <w:spacing w:line="216" w:lineRule="auto"/>
              <w:ind w:left="100" w:right="100"/>
              <w:jc w:val="both"/>
              <w:rPr>
                <w:rFonts w:eastAsiaTheme="minorHAnsi"/>
                <w:sz w:val="20"/>
                <w:szCs w:val="20"/>
              </w:rPr>
            </w:pPr>
            <w:r>
              <w:rPr>
                <w:sz w:val="20"/>
                <w:szCs w:val="20"/>
              </w:rPr>
              <w:t xml:space="preserve">A person of any age with laboratory confirmation of SARS-CoV-2 infection (using a </w:t>
            </w:r>
            <w:r>
              <w:rPr>
                <w:b/>
                <w:bCs/>
                <w:sz w:val="20"/>
                <w:szCs w:val="20"/>
                <w:u w:val="single"/>
              </w:rPr>
              <w:t>PCR-based test</w:t>
            </w:r>
            <w:r>
              <w:rPr>
                <w:sz w:val="20"/>
                <w:szCs w:val="20"/>
              </w:rPr>
              <w:t>), irrespective of clinical signs and symptoms (includes MIS-C</w:t>
            </w:r>
            <w:r>
              <w:rPr>
                <w:sz w:val="20"/>
                <w:szCs w:val="20"/>
                <w:vertAlign w:val="superscript"/>
              </w:rPr>
              <w:t>3</w:t>
            </w:r>
            <w:r>
              <w:rPr>
                <w:sz w:val="20"/>
                <w:szCs w:val="20"/>
              </w:rPr>
              <w:t xml:space="preserve"> with SARS-CoV-2 PCR positive)</w:t>
            </w:r>
          </w:p>
          <w:p w:rsidR="00D94190" w:rsidRDefault="00D94190" w:rsidP="00436035">
            <w:pPr>
              <w:spacing w:line="216" w:lineRule="auto"/>
              <w:ind w:left="100" w:right="100"/>
              <w:jc w:val="both"/>
              <w:rPr>
                <w:sz w:val="20"/>
                <w:szCs w:val="20"/>
              </w:rPr>
            </w:pPr>
          </w:p>
          <w:p w:rsidR="00D94190" w:rsidRDefault="00D94190" w:rsidP="00436035">
            <w:pPr>
              <w:spacing w:line="216" w:lineRule="auto"/>
              <w:ind w:left="100" w:right="100"/>
              <w:jc w:val="both"/>
              <w:rPr>
                <w:sz w:val="20"/>
                <w:szCs w:val="20"/>
              </w:rPr>
            </w:pPr>
            <w:r>
              <w:rPr>
                <w:sz w:val="20"/>
                <w:szCs w:val="20"/>
              </w:rPr>
              <w:t>OR</w:t>
            </w:r>
          </w:p>
          <w:p w:rsidR="00D94190" w:rsidRDefault="00D94190" w:rsidP="00436035">
            <w:pPr>
              <w:spacing w:line="216" w:lineRule="auto"/>
              <w:ind w:left="100" w:right="100"/>
              <w:jc w:val="both"/>
              <w:rPr>
                <w:b/>
                <w:bCs/>
                <w:sz w:val="20"/>
                <w:szCs w:val="20"/>
              </w:rPr>
            </w:pPr>
          </w:p>
          <w:p w:rsidR="00D94190" w:rsidRDefault="00D94190" w:rsidP="00436035">
            <w:pPr>
              <w:spacing w:line="216" w:lineRule="auto"/>
              <w:ind w:left="87" w:right="171"/>
              <w:jc w:val="both"/>
              <w:rPr>
                <w:sz w:val="20"/>
                <w:szCs w:val="20"/>
              </w:rPr>
            </w:pPr>
            <w:r>
              <w:rPr>
                <w:sz w:val="20"/>
                <w:szCs w:val="20"/>
              </w:rPr>
              <w:t xml:space="preserve">A person of any age positive for SARS-CoV-2 using an </w:t>
            </w:r>
            <w:r>
              <w:rPr>
                <w:b/>
                <w:bCs/>
                <w:sz w:val="20"/>
                <w:szCs w:val="20"/>
                <w:u w:val="single"/>
              </w:rPr>
              <w:t>antigen based</w:t>
            </w:r>
            <w:r>
              <w:rPr>
                <w:sz w:val="20"/>
                <w:szCs w:val="20"/>
              </w:rPr>
              <w:t xml:space="preserve"> </w:t>
            </w:r>
            <w:r>
              <w:rPr>
                <w:b/>
                <w:bCs/>
                <w:sz w:val="20"/>
                <w:szCs w:val="20"/>
                <w:u w:val="single"/>
              </w:rPr>
              <w:t>test</w:t>
            </w:r>
            <w:r>
              <w:rPr>
                <w:b/>
                <w:bCs/>
                <w:sz w:val="20"/>
                <w:szCs w:val="20"/>
                <w:u w:val="single"/>
                <w:vertAlign w:val="superscript"/>
              </w:rPr>
              <w:t>1</w:t>
            </w:r>
            <w:r>
              <w:rPr>
                <w:sz w:val="20"/>
                <w:szCs w:val="20"/>
              </w:rPr>
              <w:t xml:space="preserve"> </w:t>
            </w:r>
          </w:p>
          <w:p w:rsidR="00D94190" w:rsidRDefault="00D94190" w:rsidP="00436035">
            <w:pPr>
              <w:spacing w:line="216" w:lineRule="auto"/>
              <w:ind w:left="87" w:right="171"/>
              <w:jc w:val="both"/>
              <w:rPr>
                <w:sz w:val="20"/>
                <w:szCs w:val="20"/>
              </w:rPr>
            </w:pPr>
            <w:r>
              <w:rPr>
                <w:sz w:val="20"/>
                <w:szCs w:val="20"/>
              </w:rPr>
              <w:t xml:space="preserve">AND </w:t>
            </w:r>
          </w:p>
          <w:p w:rsidR="00D94190" w:rsidRDefault="00D94190" w:rsidP="00436035">
            <w:pPr>
              <w:spacing w:line="216" w:lineRule="auto"/>
              <w:ind w:left="87" w:right="171"/>
              <w:jc w:val="both"/>
              <w:rPr>
                <w:sz w:val="20"/>
                <w:szCs w:val="20"/>
              </w:rPr>
            </w:pPr>
            <w:r>
              <w:rPr>
                <w:sz w:val="20"/>
                <w:szCs w:val="20"/>
              </w:rPr>
              <w:t>that has COVID-19 related symptoms (suspected case) OR is a close contact</w:t>
            </w:r>
            <w:r>
              <w:rPr>
                <w:sz w:val="20"/>
                <w:szCs w:val="20"/>
                <w:vertAlign w:val="superscript"/>
              </w:rPr>
              <w:t>2</w:t>
            </w:r>
            <w:r>
              <w:rPr>
                <w:sz w:val="20"/>
                <w:szCs w:val="20"/>
              </w:rPr>
              <w:t xml:space="preserve"> of a confirmed case</w:t>
            </w:r>
            <w:r w:rsidR="00436035">
              <w:rPr>
                <w:sz w:val="20"/>
                <w:szCs w:val="20"/>
              </w:rPr>
              <w:t>.</w:t>
            </w:r>
            <w:r>
              <w:rPr>
                <w:sz w:val="20"/>
                <w:szCs w:val="20"/>
              </w:rPr>
              <w:t xml:space="preserve"> </w:t>
            </w:r>
          </w:p>
          <w:p w:rsidR="007359F6" w:rsidRDefault="007359F6" w:rsidP="00436035">
            <w:pPr>
              <w:pStyle w:val="TableParagraph"/>
              <w:spacing w:line="212" w:lineRule="exact"/>
              <w:ind w:left="107"/>
              <w:jc w:val="both"/>
              <w:rPr>
                <w:sz w:val="20"/>
              </w:rPr>
            </w:pPr>
          </w:p>
        </w:tc>
      </w:tr>
      <w:tr w:rsidR="007359F6" w:rsidTr="00124062">
        <w:trPr>
          <w:trHeight w:val="2473"/>
        </w:trPr>
        <w:tc>
          <w:tcPr>
            <w:tcW w:w="15725" w:type="dxa"/>
            <w:gridSpan w:val="5"/>
          </w:tcPr>
          <w:p w:rsidR="00124062" w:rsidRDefault="00124062" w:rsidP="00D94190">
            <w:pPr>
              <w:spacing w:line="192" w:lineRule="auto"/>
              <w:ind w:left="120" w:right="187"/>
              <w:rPr>
                <w:b/>
                <w:bCs/>
                <w:color w:val="E36C0A"/>
              </w:rPr>
            </w:pPr>
          </w:p>
          <w:p w:rsidR="00D94190" w:rsidRDefault="00D94190" w:rsidP="00D94190">
            <w:pPr>
              <w:spacing w:line="192" w:lineRule="auto"/>
              <w:ind w:left="120" w:right="187"/>
              <w:rPr>
                <w:rFonts w:eastAsiaTheme="minorHAnsi"/>
                <w:b/>
                <w:bCs/>
                <w:color w:val="E36C0A"/>
              </w:rPr>
            </w:pPr>
            <w:r>
              <w:rPr>
                <w:b/>
                <w:bCs/>
                <w:color w:val="E36C0A"/>
              </w:rPr>
              <w:t>Additional notes</w:t>
            </w:r>
          </w:p>
          <w:p w:rsidR="00D94190" w:rsidRDefault="00D94190" w:rsidP="00D94190">
            <w:pPr>
              <w:spacing w:line="192" w:lineRule="auto"/>
              <w:ind w:left="120" w:right="187"/>
              <w:rPr>
                <w:sz w:val="20"/>
                <w:szCs w:val="20"/>
              </w:rPr>
            </w:pPr>
            <w:r>
              <w:rPr>
                <w:sz w:val="20"/>
                <w:szCs w:val="20"/>
                <w:vertAlign w:val="superscript"/>
              </w:rPr>
              <w:t xml:space="preserve">1 </w:t>
            </w:r>
            <w:r>
              <w:rPr>
                <w:sz w:val="20"/>
                <w:szCs w:val="20"/>
              </w:rPr>
              <w:t>Rapid antigen test should be performed within 5 days of symptom onset or within 7 days from time of exposure.</w:t>
            </w:r>
          </w:p>
          <w:p w:rsidR="00D94190" w:rsidRDefault="00D94190" w:rsidP="00D94190">
            <w:pPr>
              <w:spacing w:line="192" w:lineRule="auto"/>
              <w:ind w:left="120" w:right="187"/>
              <w:rPr>
                <w:sz w:val="20"/>
                <w:szCs w:val="20"/>
              </w:rPr>
            </w:pPr>
            <w:r>
              <w:rPr>
                <w:sz w:val="20"/>
                <w:szCs w:val="20"/>
                <w:vertAlign w:val="superscript"/>
              </w:rPr>
              <w:t xml:space="preserve">2 </w:t>
            </w:r>
            <w:r>
              <w:rPr>
                <w:sz w:val="20"/>
                <w:szCs w:val="20"/>
              </w:rPr>
              <w:t xml:space="preserve">Close contact: A person having had face-to-face contact (≤1 </w:t>
            </w:r>
            <w:proofErr w:type="spellStart"/>
            <w:r>
              <w:rPr>
                <w:sz w:val="20"/>
                <w:szCs w:val="20"/>
              </w:rPr>
              <w:t>metre</w:t>
            </w:r>
            <w:proofErr w:type="spellEnd"/>
            <w:r>
              <w:rPr>
                <w:sz w:val="20"/>
                <w:szCs w:val="20"/>
              </w:rPr>
              <w:t xml:space="preserve">) or been in a closed space with a confirmed case for at least 15 minutes. This includes, amongst others, all persons living in the same household as a case, and people working closely in the same environment as a case. Healthcare workers or other people providing direct care for a case, while not wearing recommended personal protective equipment or PPE (e.g., gowns, gloves, N95 respirator, eye protection). A contact in an aircraft sitting within two seats (in any direction) of the case, travel companions or persons providing care, and crew members serving in the section of the aircraft where the case was seated. </w:t>
            </w:r>
          </w:p>
          <w:p w:rsidR="00D94190" w:rsidRDefault="00D94190" w:rsidP="00D94190">
            <w:pPr>
              <w:spacing w:line="192" w:lineRule="auto"/>
              <w:ind w:left="120" w:right="187"/>
              <w:rPr>
                <w:sz w:val="20"/>
                <w:szCs w:val="20"/>
              </w:rPr>
            </w:pPr>
            <w:r>
              <w:rPr>
                <w:sz w:val="20"/>
                <w:szCs w:val="20"/>
                <w:vertAlign w:val="superscript"/>
              </w:rPr>
              <w:t xml:space="preserve">3 </w:t>
            </w:r>
            <w:r>
              <w:rPr>
                <w:sz w:val="20"/>
                <w:szCs w:val="20"/>
              </w:rPr>
              <w:t xml:space="preserve">MIS-C case definition available at: </w:t>
            </w:r>
            <w:hyperlink r:id="rId7" w:history="1">
              <w:r>
                <w:rPr>
                  <w:rStyle w:val="Hyperlink"/>
                  <w:color w:val="0000FF"/>
                  <w:sz w:val="20"/>
                  <w:szCs w:val="20"/>
                </w:rPr>
                <w:t>https://www.nicd.ac.za/diseases-a-z-index/covid-19/covid-19-resources/</w:t>
              </w:r>
            </w:hyperlink>
          </w:p>
          <w:p w:rsidR="00D94190" w:rsidRDefault="00D94190" w:rsidP="00D94190">
            <w:pPr>
              <w:spacing w:line="192" w:lineRule="auto"/>
              <w:ind w:left="120" w:right="187"/>
              <w:rPr>
                <w:b/>
                <w:bCs/>
                <w:color w:val="E36C0A"/>
              </w:rPr>
            </w:pPr>
          </w:p>
          <w:p w:rsidR="00D94190" w:rsidRDefault="00D94190" w:rsidP="00D94190">
            <w:pPr>
              <w:spacing w:line="192" w:lineRule="auto"/>
              <w:ind w:left="120" w:right="187"/>
              <w:rPr>
                <w:b/>
                <w:bCs/>
                <w:color w:val="E36C0A"/>
              </w:rPr>
            </w:pPr>
            <w:r>
              <w:rPr>
                <w:b/>
                <w:bCs/>
                <w:color w:val="E36C0A"/>
              </w:rPr>
              <w:t>Additional resources</w:t>
            </w:r>
          </w:p>
          <w:p w:rsidR="007359F6" w:rsidRDefault="00D94190" w:rsidP="00D94190">
            <w:pPr>
              <w:spacing w:line="192" w:lineRule="auto"/>
              <w:ind w:left="120" w:right="187"/>
              <w:rPr>
                <w:color w:val="0000FF"/>
                <w:sz w:val="20"/>
                <w:szCs w:val="20"/>
                <w:u w:val="single"/>
              </w:rPr>
            </w:pPr>
            <w:r>
              <w:rPr>
                <w:sz w:val="20"/>
                <w:szCs w:val="20"/>
              </w:rPr>
              <w:t xml:space="preserve">Additional resources for COVID-19 including case definitions, FAQs, specimen collection instructions and guidelines may be found at: </w:t>
            </w:r>
            <w:hyperlink r:id="rId8" w:history="1">
              <w:r>
                <w:rPr>
                  <w:rStyle w:val="Hyperlink"/>
                  <w:color w:val="0000FF"/>
                  <w:sz w:val="20"/>
                  <w:szCs w:val="20"/>
                </w:rPr>
                <w:t>https://www.nicd.ac.za/diseases-a-z-index/covid-19/covid-19-resources/</w:t>
              </w:r>
            </w:hyperlink>
          </w:p>
          <w:p w:rsidR="00124062" w:rsidRDefault="00124062" w:rsidP="00D94190">
            <w:pPr>
              <w:spacing w:line="192" w:lineRule="auto"/>
              <w:ind w:left="120" w:right="187"/>
              <w:rPr>
                <w:sz w:val="20"/>
              </w:rPr>
            </w:pPr>
          </w:p>
        </w:tc>
      </w:tr>
    </w:tbl>
    <w:p w:rsidR="007359F6" w:rsidRPr="00AD2AFE" w:rsidRDefault="00AD2AFE">
      <w:pPr>
        <w:spacing w:before="178"/>
        <w:ind w:left="120"/>
        <w:rPr>
          <w:sz w:val="20"/>
        </w:rPr>
      </w:pPr>
      <w:r w:rsidRPr="00AD2AFE">
        <w:rPr>
          <w:sz w:val="20"/>
        </w:rPr>
        <w:t>COVID-19</w:t>
      </w:r>
      <w:r w:rsidRPr="00AD2AFE">
        <w:rPr>
          <w:spacing w:val="-4"/>
          <w:sz w:val="20"/>
        </w:rPr>
        <w:t xml:space="preserve"> </w:t>
      </w:r>
      <w:r w:rsidRPr="00AD2AFE">
        <w:rPr>
          <w:sz w:val="20"/>
        </w:rPr>
        <w:t>CASE</w:t>
      </w:r>
      <w:r w:rsidRPr="00AD2AFE">
        <w:rPr>
          <w:spacing w:val="-3"/>
          <w:sz w:val="20"/>
        </w:rPr>
        <w:t xml:space="preserve"> </w:t>
      </w:r>
      <w:r w:rsidRPr="00AD2AFE">
        <w:rPr>
          <w:sz w:val="20"/>
        </w:rPr>
        <w:t>DEFINITION</w:t>
      </w:r>
      <w:r w:rsidRPr="00AD2AFE">
        <w:rPr>
          <w:spacing w:val="-1"/>
          <w:sz w:val="20"/>
        </w:rPr>
        <w:t xml:space="preserve"> </w:t>
      </w:r>
      <w:r w:rsidRPr="00AD2AFE">
        <w:rPr>
          <w:sz w:val="20"/>
        </w:rPr>
        <w:t>–</w:t>
      </w:r>
      <w:r w:rsidRPr="00AD2AFE">
        <w:rPr>
          <w:spacing w:val="-4"/>
          <w:sz w:val="20"/>
        </w:rPr>
        <w:t xml:space="preserve"> </w:t>
      </w:r>
      <w:r w:rsidRPr="00AD2AFE">
        <w:rPr>
          <w:sz w:val="20"/>
        </w:rPr>
        <w:t>UPDATED:</w:t>
      </w:r>
      <w:r w:rsidRPr="00AD2AFE">
        <w:rPr>
          <w:spacing w:val="-4"/>
          <w:sz w:val="20"/>
        </w:rPr>
        <w:t xml:space="preserve"> </w:t>
      </w:r>
      <w:r w:rsidR="004D7191">
        <w:rPr>
          <w:sz w:val="20"/>
        </w:rPr>
        <w:t>03</w:t>
      </w:r>
      <w:bookmarkStart w:id="0" w:name="_GoBack"/>
      <w:bookmarkEnd w:id="0"/>
      <w:r w:rsidRPr="00AD2AFE">
        <w:rPr>
          <w:sz w:val="20"/>
        </w:rPr>
        <w:t xml:space="preserve"> JUNE 202</w:t>
      </w:r>
      <w:r w:rsidR="00DB4BC9">
        <w:rPr>
          <w:sz w:val="20"/>
        </w:rPr>
        <w:t>1</w:t>
      </w:r>
    </w:p>
    <w:sectPr w:rsidR="007359F6" w:rsidRPr="00AD2AFE">
      <w:type w:val="continuous"/>
      <w:pgSz w:w="16850" w:h="11910" w:orient="landscape"/>
      <w:pgMar w:top="280" w:right="130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2411C"/>
    <w:multiLevelType w:val="hybridMultilevel"/>
    <w:tmpl w:val="0CB4B0BA"/>
    <w:lvl w:ilvl="0" w:tplc="795ADAF4">
      <w:start w:val="1"/>
      <w:numFmt w:val="decimal"/>
      <w:lvlText w:val="%1"/>
      <w:lvlJc w:val="left"/>
      <w:pPr>
        <w:ind w:left="124" w:hanging="147"/>
        <w:jc w:val="left"/>
      </w:pPr>
      <w:rPr>
        <w:rFonts w:ascii="Calibri" w:eastAsia="Calibri" w:hAnsi="Calibri" w:cs="Calibri" w:hint="default"/>
        <w:w w:val="99"/>
        <w:sz w:val="20"/>
        <w:szCs w:val="20"/>
        <w:lang w:val="en-US" w:eastAsia="en-US" w:bidi="ar-SA"/>
      </w:rPr>
    </w:lvl>
    <w:lvl w:ilvl="1" w:tplc="4754C018">
      <w:numFmt w:val="bullet"/>
      <w:lvlText w:val="•"/>
      <w:lvlJc w:val="left"/>
      <w:pPr>
        <w:ind w:left="1538" w:hanging="147"/>
      </w:pPr>
      <w:rPr>
        <w:rFonts w:hint="default"/>
        <w:lang w:val="en-US" w:eastAsia="en-US" w:bidi="ar-SA"/>
      </w:rPr>
    </w:lvl>
    <w:lvl w:ilvl="2" w:tplc="DEAC10A8">
      <w:numFmt w:val="bullet"/>
      <w:lvlText w:val="•"/>
      <w:lvlJc w:val="left"/>
      <w:pPr>
        <w:ind w:left="2957" w:hanging="147"/>
      </w:pPr>
      <w:rPr>
        <w:rFonts w:hint="default"/>
        <w:lang w:val="en-US" w:eastAsia="en-US" w:bidi="ar-SA"/>
      </w:rPr>
    </w:lvl>
    <w:lvl w:ilvl="3" w:tplc="4F062A64">
      <w:numFmt w:val="bullet"/>
      <w:lvlText w:val="•"/>
      <w:lvlJc w:val="left"/>
      <w:pPr>
        <w:ind w:left="4375" w:hanging="147"/>
      </w:pPr>
      <w:rPr>
        <w:rFonts w:hint="default"/>
        <w:lang w:val="en-US" w:eastAsia="en-US" w:bidi="ar-SA"/>
      </w:rPr>
    </w:lvl>
    <w:lvl w:ilvl="4" w:tplc="C1E8727C">
      <w:numFmt w:val="bullet"/>
      <w:lvlText w:val="•"/>
      <w:lvlJc w:val="left"/>
      <w:pPr>
        <w:ind w:left="5794" w:hanging="147"/>
      </w:pPr>
      <w:rPr>
        <w:rFonts w:hint="default"/>
        <w:lang w:val="en-US" w:eastAsia="en-US" w:bidi="ar-SA"/>
      </w:rPr>
    </w:lvl>
    <w:lvl w:ilvl="5" w:tplc="77BA9662">
      <w:numFmt w:val="bullet"/>
      <w:lvlText w:val="•"/>
      <w:lvlJc w:val="left"/>
      <w:pPr>
        <w:ind w:left="7212" w:hanging="147"/>
      </w:pPr>
      <w:rPr>
        <w:rFonts w:hint="default"/>
        <w:lang w:val="en-US" w:eastAsia="en-US" w:bidi="ar-SA"/>
      </w:rPr>
    </w:lvl>
    <w:lvl w:ilvl="6" w:tplc="A5DEDA76">
      <w:numFmt w:val="bullet"/>
      <w:lvlText w:val="•"/>
      <w:lvlJc w:val="left"/>
      <w:pPr>
        <w:ind w:left="8631" w:hanging="147"/>
      </w:pPr>
      <w:rPr>
        <w:rFonts w:hint="default"/>
        <w:lang w:val="en-US" w:eastAsia="en-US" w:bidi="ar-SA"/>
      </w:rPr>
    </w:lvl>
    <w:lvl w:ilvl="7" w:tplc="7092F86E">
      <w:numFmt w:val="bullet"/>
      <w:lvlText w:val="•"/>
      <w:lvlJc w:val="left"/>
      <w:pPr>
        <w:ind w:left="10049" w:hanging="147"/>
      </w:pPr>
      <w:rPr>
        <w:rFonts w:hint="default"/>
        <w:lang w:val="en-US" w:eastAsia="en-US" w:bidi="ar-SA"/>
      </w:rPr>
    </w:lvl>
    <w:lvl w:ilvl="8" w:tplc="2EDE6D68">
      <w:numFmt w:val="bullet"/>
      <w:lvlText w:val="•"/>
      <w:lvlJc w:val="left"/>
      <w:pPr>
        <w:ind w:left="11468" w:hanging="147"/>
      </w:pPr>
      <w:rPr>
        <w:rFonts w:hint="default"/>
        <w:lang w:val="en-US" w:eastAsia="en-US" w:bidi="ar-SA"/>
      </w:rPr>
    </w:lvl>
  </w:abstractNum>
  <w:abstractNum w:abstractNumId="1" w15:restartNumberingAfterBreak="0">
    <w:nsid w:val="5CDA6EBD"/>
    <w:multiLevelType w:val="hybridMultilevel"/>
    <w:tmpl w:val="0B52AAC4"/>
    <w:lvl w:ilvl="0" w:tplc="9A7869AC">
      <w:numFmt w:val="bullet"/>
      <w:lvlText w:val=""/>
      <w:lvlJc w:val="left"/>
      <w:pPr>
        <w:ind w:left="1084" w:hanging="360"/>
      </w:pPr>
      <w:rPr>
        <w:rFonts w:ascii="Symbol" w:eastAsia="Symbol" w:hAnsi="Symbol" w:cs="Symbol" w:hint="default"/>
        <w:w w:val="99"/>
        <w:sz w:val="20"/>
        <w:szCs w:val="20"/>
        <w:lang w:val="en-US" w:eastAsia="en-US" w:bidi="ar-SA"/>
      </w:rPr>
    </w:lvl>
    <w:lvl w:ilvl="1" w:tplc="83EC970C">
      <w:numFmt w:val="bullet"/>
      <w:lvlText w:val="•"/>
      <w:lvlJc w:val="left"/>
      <w:pPr>
        <w:ind w:left="2402" w:hanging="360"/>
      </w:pPr>
      <w:rPr>
        <w:rFonts w:hint="default"/>
        <w:lang w:val="en-US" w:eastAsia="en-US" w:bidi="ar-SA"/>
      </w:rPr>
    </w:lvl>
    <w:lvl w:ilvl="2" w:tplc="4CBC3F7E">
      <w:numFmt w:val="bullet"/>
      <w:lvlText w:val="•"/>
      <w:lvlJc w:val="left"/>
      <w:pPr>
        <w:ind w:left="3725" w:hanging="360"/>
      </w:pPr>
      <w:rPr>
        <w:rFonts w:hint="default"/>
        <w:lang w:val="en-US" w:eastAsia="en-US" w:bidi="ar-SA"/>
      </w:rPr>
    </w:lvl>
    <w:lvl w:ilvl="3" w:tplc="41A0E292">
      <w:numFmt w:val="bullet"/>
      <w:lvlText w:val="•"/>
      <w:lvlJc w:val="left"/>
      <w:pPr>
        <w:ind w:left="5047" w:hanging="360"/>
      </w:pPr>
      <w:rPr>
        <w:rFonts w:hint="default"/>
        <w:lang w:val="en-US" w:eastAsia="en-US" w:bidi="ar-SA"/>
      </w:rPr>
    </w:lvl>
    <w:lvl w:ilvl="4" w:tplc="9C166A88">
      <w:numFmt w:val="bullet"/>
      <w:lvlText w:val="•"/>
      <w:lvlJc w:val="left"/>
      <w:pPr>
        <w:ind w:left="6370" w:hanging="360"/>
      </w:pPr>
      <w:rPr>
        <w:rFonts w:hint="default"/>
        <w:lang w:val="en-US" w:eastAsia="en-US" w:bidi="ar-SA"/>
      </w:rPr>
    </w:lvl>
    <w:lvl w:ilvl="5" w:tplc="516E49A4">
      <w:numFmt w:val="bullet"/>
      <w:lvlText w:val="•"/>
      <w:lvlJc w:val="left"/>
      <w:pPr>
        <w:ind w:left="7692" w:hanging="360"/>
      </w:pPr>
      <w:rPr>
        <w:rFonts w:hint="default"/>
        <w:lang w:val="en-US" w:eastAsia="en-US" w:bidi="ar-SA"/>
      </w:rPr>
    </w:lvl>
    <w:lvl w:ilvl="6" w:tplc="A37C6464">
      <w:numFmt w:val="bullet"/>
      <w:lvlText w:val="•"/>
      <w:lvlJc w:val="left"/>
      <w:pPr>
        <w:ind w:left="9015" w:hanging="360"/>
      </w:pPr>
      <w:rPr>
        <w:rFonts w:hint="default"/>
        <w:lang w:val="en-US" w:eastAsia="en-US" w:bidi="ar-SA"/>
      </w:rPr>
    </w:lvl>
    <w:lvl w:ilvl="7" w:tplc="B45A71FC">
      <w:numFmt w:val="bullet"/>
      <w:lvlText w:val="•"/>
      <w:lvlJc w:val="left"/>
      <w:pPr>
        <w:ind w:left="10337" w:hanging="360"/>
      </w:pPr>
      <w:rPr>
        <w:rFonts w:hint="default"/>
        <w:lang w:val="en-US" w:eastAsia="en-US" w:bidi="ar-SA"/>
      </w:rPr>
    </w:lvl>
    <w:lvl w:ilvl="8" w:tplc="42F2CF3A">
      <w:numFmt w:val="bullet"/>
      <w:lvlText w:val="•"/>
      <w:lvlJc w:val="left"/>
      <w:pPr>
        <w:ind w:left="1166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F6"/>
    <w:rsid w:val="00124062"/>
    <w:rsid w:val="00436035"/>
    <w:rsid w:val="004D7191"/>
    <w:rsid w:val="00511891"/>
    <w:rsid w:val="007359F6"/>
    <w:rsid w:val="007769C0"/>
    <w:rsid w:val="00AD2AFE"/>
    <w:rsid w:val="00C57A48"/>
    <w:rsid w:val="00D94190"/>
    <w:rsid w:val="00DB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0759"/>
  <w15:docId w15:val="{0F2FA189-FBFA-4312-8044-F2BBA018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1"/>
      <w:ind w:left="578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941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410">
      <w:bodyDiv w:val="1"/>
      <w:marLeft w:val="0"/>
      <w:marRight w:val="0"/>
      <w:marTop w:val="0"/>
      <w:marBottom w:val="0"/>
      <w:divBdr>
        <w:top w:val="none" w:sz="0" w:space="0" w:color="auto"/>
        <w:left w:val="none" w:sz="0" w:space="0" w:color="auto"/>
        <w:bottom w:val="none" w:sz="0" w:space="0" w:color="auto"/>
        <w:right w:val="none" w:sz="0" w:space="0" w:color="auto"/>
      </w:divBdr>
    </w:div>
    <w:div w:id="654065689">
      <w:bodyDiv w:val="1"/>
      <w:marLeft w:val="0"/>
      <w:marRight w:val="0"/>
      <w:marTop w:val="0"/>
      <w:marBottom w:val="0"/>
      <w:divBdr>
        <w:top w:val="none" w:sz="0" w:space="0" w:color="auto"/>
        <w:left w:val="none" w:sz="0" w:space="0" w:color="auto"/>
        <w:bottom w:val="none" w:sz="0" w:space="0" w:color="auto"/>
        <w:right w:val="none" w:sz="0" w:space="0" w:color="auto"/>
      </w:divBdr>
    </w:div>
    <w:div w:id="1397119548">
      <w:bodyDiv w:val="1"/>
      <w:marLeft w:val="0"/>
      <w:marRight w:val="0"/>
      <w:marTop w:val="0"/>
      <w:marBottom w:val="0"/>
      <w:divBdr>
        <w:top w:val="none" w:sz="0" w:space="0" w:color="auto"/>
        <w:left w:val="none" w:sz="0" w:space="0" w:color="auto"/>
        <w:bottom w:val="none" w:sz="0" w:space="0" w:color="auto"/>
        <w:right w:val="none" w:sz="0" w:space="0" w:color="auto"/>
      </w:divBdr>
    </w:div>
    <w:div w:id="1495414600">
      <w:bodyDiv w:val="1"/>
      <w:marLeft w:val="0"/>
      <w:marRight w:val="0"/>
      <w:marTop w:val="0"/>
      <w:marBottom w:val="0"/>
      <w:divBdr>
        <w:top w:val="none" w:sz="0" w:space="0" w:color="auto"/>
        <w:left w:val="none" w:sz="0" w:space="0" w:color="auto"/>
        <w:bottom w:val="none" w:sz="0" w:space="0" w:color="auto"/>
        <w:right w:val="none" w:sz="0" w:space="0" w:color="auto"/>
      </w:divBdr>
    </w:div>
    <w:div w:id="1643651593">
      <w:bodyDiv w:val="1"/>
      <w:marLeft w:val="0"/>
      <w:marRight w:val="0"/>
      <w:marTop w:val="0"/>
      <w:marBottom w:val="0"/>
      <w:divBdr>
        <w:top w:val="none" w:sz="0" w:space="0" w:color="auto"/>
        <w:left w:val="none" w:sz="0" w:space="0" w:color="auto"/>
        <w:bottom w:val="none" w:sz="0" w:space="0" w:color="auto"/>
        <w:right w:val="none" w:sz="0" w:space="0" w:color="auto"/>
      </w:divBdr>
    </w:div>
    <w:div w:id="173042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d.ac.za/diseases-a-z-index/covid-19/covid-19-resources/" TargetMode="External"/><Relationship Id="rId3" Type="http://schemas.openxmlformats.org/officeDocument/2006/relationships/settings" Target="settings.xml"/><Relationship Id="rId7" Type="http://schemas.openxmlformats.org/officeDocument/2006/relationships/hyperlink" Target="https://www.nicd.ac.za/diseases-a-z-index/covid-19/covid-19-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Erasmus</dc:creator>
  <cp:lastModifiedBy>Nileen Gale</cp:lastModifiedBy>
  <cp:revision>2</cp:revision>
  <dcterms:created xsi:type="dcterms:W3CDTF">2021-06-03T13:16:00Z</dcterms:created>
  <dcterms:modified xsi:type="dcterms:W3CDTF">2021-06-03T13:16:00Z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2016</vt:lpwstr>
  </property>
  <property fmtid="{D5CDD505-2E9C-101B-9397-08002B2CF9AE}" pid="4" name="LastSaved">
    <vt:filetime>2021-06-03T00:00:00Z</vt:filetime>
  </property>
</Properties>
</file>