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843D" w14:textId="77777777" w:rsidR="001E40CC" w:rsidRPr="00F25886" w:rsidRDefault="001E40CC" w:rsidP="001E40CC">
      <w:pPr>
        <w:spacing w:after="200" w:line="276" w:lineRule="auto"/>
        <w:rPr>
          <w:rFonts w:asciiTheme="minorHAnsi" w:hAnsiTheme="minorHAnsi" w:cstheme="minorHAnsi"/>
          <w:b/>
          <w:bCs/>
          <w:color w:val="FF0000"/>
        </w:rPr>
      </w:pPr>
      <w:r w:rsidRPr="00F25886">
        <w:rPr>
          <w:rFonts w:asciiTheme="minorHAnsi" w:hAnsiTheme="minorHAnsi" w:cstheme="minorHAnsi"/>
          <w:b/>
          <w:bCs/>
          <w:color w:val="FF0000"/>
        </w:rPr>
        <w:t>Category 1: Immediate reporting telephonically followed by written or electronic notification within 24hrs of diagnosing a case</w:t>
      </w:r>
    </w:p>
    <w:p w14:paraId="487BFF7C" w14:textId="77777777" w:rsidR="001E40CC" w:rsidRPr="00F25886" w:rsidRDefault="001E40CC" w:rsidP="001E40CC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  <w:r w:rsidRPr="00F25886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DIPHTHERIA</w:t>
      </w:r>
    </w:p>
    <w:p w14:paraId="58052464" w14:textId="77777777" w:rsidR="001E40CC" w:rsidRPr="00F25886" w:rsidRDefault="001E40CC" w:rsidP="001E40CC">
      <w:pPr>
        <w:rPr>
          <w:rFonts w:asciiTheme="minorHAnsi" w:hAnsiTheme="minorHAnsi" w:cstheme="minorHAnsi"/>
        </w:rPr>
      </w:pPr>
    </w:p>
    <w:tbl>
      <w:tblPr>
        <w:tblStyle w:val="TableGrid"/>
        <w:tblW w:w="15877" w:type="dxa"/>
        <w:tblInd w:w="-880" w:type="dxa"/>
        <w:tblLook w:val="04A0" w:firstRow="1" w:lastRow="0" w:firstColumn="1" w:lastColumn="0" w:noHBand="0" w:noVBand="1"/>
      </w:tblPr>
      <w:tblGrid>
        <w:gridCol w:w="3710"/>
        <w:gridCol w:w="2410"/>
        <w:gridCol w:w="2557"/>
        <w:gridCol w:w="4438"/>
        <w:gridCol w:w="2762"/>
      </w:tblGrid>
      <w:tr w:rsidR="001E40CC" w:rsidRPr="00F25886" w14:paraId="46DF4440" w14:textId="77777777" w:rsidTr="000006D7">
        <w:trPr>
          <w:trHeight w:val="20"/>
        </w:trPr>
        <w:tc>
          <w:tcPr>
            <w:tcW w:w="3710" w:type="dxa"/>
          </w:tcPr>
          <w:p w14:paraId="58520331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  <w:t>Why is surveillance necessary?</w:t>
            </w:r>
          </w:p>
        </w:tc>
        <w:tc>
          <w:tcPr>
            <w:tcW w:w="2410" w:type="dxa"/>
          </w:tcPr>
          <w:p w14:paraId="5D515A19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  <w:t>Who must notify and when?</w:t>
            </w:r>
          </w:p>
          <w:p w14:paraId="14FA4F1F" w14:textId="77777777" w:rsidR="001E40CC" w:rsidRPr="00F25886" w:rsidRDefault="001E40CC" w:rsidP="000006D7">
            <w:pPr>
              <w:pStyle w:val="ListParagraph"/>
              <w:ind w:left="251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61BA0A2A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  <w:t>Suspected case definition</w:t>
            </w:r>
          </w:p>
          <w:p w14:paraId="3924C60C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</w:p>
        </w:tc>
        <w:tc>
          <w:tcPr>
            <w:tcW w:w="4438" w:type="dxa"/>
          </w:tcPr>
          <w:p w14:paraId="52CE9D90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  <w:t>Probable case definition</w:t>
            </w:r>
          </w:p>
        </w:tc>
        <w:tc>
          <w:tcPr>
            <w:tcW w:w="2762" w:type="dxa"/>
          </w:tcPr>
          <w:p w14:paraId="5B7F8A08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  <w:szCs w:val="24"/>
              </w:rPr>
              <w:t>Confirmed case definition</w:t>
            </w:r>
          </w:p>
        </w:tc>
      </w:tr>
      <w:tr w:rsidR="001E40CC" w:rsidRPr="00F25886" w14:paraId="555E9F1E" w14:textId="77777777" w:rsidTr="000006D7">
        <w:tc>
          <w:tcPr>
            <w:tcW w:w="3710" w:type="dxa"/>
            <w:shd w:val="clear" w:color="auto" w:fill="D9D9D9" w:themeFill="background1" w:themeFillShade="D9"/>
          </w:tcPr>
          <w:p w14:paraId="7E4A21F0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D04FA75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  <w:shd w:val="clear" w:color="auto" w:fill="D9D9D9" w:themeFill="background1" w:themeFillShade="D9"/>
          </w:tcPr>
          <w:p w14:paraId="43094786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38" w:type="dxa"/>
            <w:shd w:val="clear" w:color="auto" w:fill="D9D9D9" w:themeFill="background1" w:themeFillShade="D9"/>
          </w:tcPr>
          <w:p w14:paraId="5609C49B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2" w:type="dxa"/>
            <w:shd w:val="clear" w:color="auto" w:fill="D9D9D9" w:themeFill="background1" w:themeFillShade="D9"/>
          </w:tcPr>
          <w:p w14:paraId="4FC861D9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</w:p>
        </w:tc>
      </w:tr>
      <w:tr w:rsidR="001E40CC" w:rsidRPr="00F25886" w14:paraId="0A9C737C" w14:textId="77777777" w:rsidTr="000006D7">
        <w:tc>
          <w:tcPr>
            <w:tcW w:w="3710" w:type="dxa"/>
          </w:tcPr>
          <w:p w14:paraId="2A0B2135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Diphtheria is caused by infection with toxin-producing strains of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Corynebacterium diphtheriae</w:t>
            </w: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C. </w:t>
            </w:r>
            <w:proofErr w:type="spellStart"/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ulcerans</w:t>
            </w:r>
            <w:proofErr w:type="spellEnd"/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C. pseudotuberculosis</w:t>
            </w:r>
          </w:p>
          <w:p w14:paraId="0805C9E5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>Diphtheria is spread via respiratory droplets or direct contact with infected skin lesions from an infected person.</w:t>
            </w:r>
          </w:p>
          <w:p w14:paraId="611F0F49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9A4D17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Diphtheria has a high mortality rate. Notification is essential because additional cases can be prevented amongst contacts by early administration of antibiotics. Persons who are fully vaccinated are not at risk of diphtheria. </w:t>
            </w:r>
          </w:p>
        </w:tc>
        <w:tc>
          <w:tcPr>
            <w:tcW w:w="2410" w:type="dxa"/>
          </w:tcPr>
          <w:p w14:paraId="5D8C68EF" w14:textId="77777777" w:rsidR="001E40CC" w:rsidRPr="00F25886" w:rsidRDefault="001E40CC" w:rsidP="000006D7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The clinician who suspects diphtheria should notify the case immediately. </w:t>
            </w:r>
          </w:p>
          <w:p w14:paraId="6EA28325" w14:textId="77777777" w:rsidR="001E40CC" w:rsidRPr="00F25886" w:rsidRDefault="001E40CC" w:rsidP="000006D7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8E18FA" w14:textId="77777777" w:rsidR="001E40CC" w:rsidRPr="00F25886" w:rsidRDefault="001E40CC" w:rsidP="000006D7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32"/>
              </w:rPr>
              <w:t>Healthcare workers should NOT wait for laboratory confirmation before notifying cases.</w:t>
            </w:r>
          </w:p>
          <w:p w14:paraId="45611672" w14:textId="77777777" w:rsidR="001E40CC" w:rsidRPr="00F25886" w:rsidRDefault="001E40CC" w:rsidP="000006D7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6F559" w14:textId="77777777" w:rsidR="001E40CC" w:rsidRPr="00F25886" w:rsidRDefault="001E40CC" w:rsidP="000006D7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F1A51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14:paraId="5C417E19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>A person who presents with an upper-respiratory tract illness</w:t>
            </w:r>
            <w:r w:rsidRPr="00F25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characterised</w:t>
            </w: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by sore throat, low-grade fever AND an adherent membrane of the nose, pharynx, tonsils, or larynx. </w:t>
            </w:r>
          </w:p>
          <w:p w14:paraId="578F7BD8" w14:textId="77777777" w:rsidR="001E40CC" w:rsidRPr="00F25886" w:rsidRDefault="001E40CC" w:rsidP="000006D7">
            <w:pPr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</w:tcPr>
          <w:p w14:paraId="368EE37D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A person who presents with an upper-respiratory tract illness characterised by sore throat, low-grade fever AND an adherent membrane of the nose, pharynx, tonsils, or larynx; </w:t>
            </w:r>
          </w:p>
          <w:p w14:paraId="22B9F9F8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</w:p>
          <w:p w14:paraId="53B7647A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a person who has an epidemiological link to a confirmed case, who has respiratory tract symptoms but no membrane; </w:t>
            </w:r>
          </w:p>
          <w:p w14:paraId="3D967DCD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</w:p>
          <w:p w14:paraId="51650760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>a person with a skin lesion</w:t>
            </w:r>
          </w:p>
          <w:p w14:paraId="2BD8C8EA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08716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F258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476B14CF" w14:textId="77777777" w:rsidR="001E40CC" w:rsidRPr="00F25886" w:rsidRDefault="001E40CC" w:rsidP="000006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C. diphtheria or C. </w:t>
            </w:r>
            <w:proofErr w:type="spellStart"/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ulcerans</w:t>
            </w:r>
            <w:proofErr w:type="spellEnd"/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C. pseudotuberculosis</w:t>
            </w:r>
          </w:p>
          <w:p w14:paraId="720A1D6A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>has been isolated from relevant specimens but toxigenicity status has not been confirmed.</w:t>
            </w:r>
          </w:p>
          <w:p w14:paraId="09177202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37D6C00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>Any person with signs and symptoms consistent with diphtheria (respiratory and/or cutaneous)</w:t>
            </w:r>
          </w:p>
          <w:p w14:paraId="5DA51B75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14:paraId="221B4114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a positive culture for or PCR detection of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C. diphtheriae</w:t>
            </w: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C. </w:t>
            </w:r>
            <w:proofErr w:type="spellStart"/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ulcerans</w:t>
            </w:r>
            <w:proofErr w:type="spellEnd"/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C. pseudotuberculosis</w:t>
            </w: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from a clinical specimen which is confirmed to be </w:t>
            </w:r>
            <w:r w:rsidRPr="00F25886">
              <w:rPr>
                <w:rFonts w:asciiTheme="minorHAnsi" w:hAnsiTheme="minorHAnsi" w:cstheme="minorHAnsi"/>
                <w:i/>
                <w:sz w:val="20"/>
                <w:szCs w:val="20"/>
              </w:rPr>
              <w:t>tox</w:t>
            </w: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 gene positive by PCR or toxin-producing by ELEK testing.</w:t>
            </w:r>
          </w:p>
        </w:tc>
      </w:tr>
      <w:tr w:rsidR="001E40CC" w:rsidRPr="00F25886" w14:paraId="2E7825D4" w14:textId="77777777" w:rsidTr="000006D7">
        <w:tc>
          <w:tcPr>
            <w:tcW w:w="15877" w:type="dxa"/>
            <w:gridSpan w:val="5"/>
          </w:tcPr>
          <w:p w14:paraId="2F072002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</w:rPr>
              <w:t xml:space="preserve">Additional notes </w:t>
            </w:r>
          </w:p>
          <w:p w14:paraId="3F63BCE6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886">
              <w:rPr>
                <w:rFonts w:asciiTheme="minorHAnsi" w:hAnsiTheme="minorHAnsi" w:cstheme="minorHAnsi"/>
                <w:sz w:val="20"/>
                <w:szCs w:val="20"/>
              </w:rPr>
              <w:t xml:space="preserve">Clinicians who suspect diphtheria should contact the NICD 24-hour hotline (082-883-9920) for assistance with specimen collection and diagnosis. It is essential to: 1)  collect a throat swab from suspected cases using the correct procedures, and 2) to complete a case investigation to provide authorities with information to identify contacts and implement prevention measures. See resources below. </w:t>
            </w:r>
          </w:p>
          <w:p w14:paraId="7052AB07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40CC" w:rsidRPr="00F25886" w14:paraId="1DC7687C" w14:textId="77777777" w:rsidTr="000006D7">
        <w:tc>
          <w:tcPr>
            <w:tcW w:w="15877" w:type="dxa"/>
            <w:gridSpan w:val="5"/>
          </w:tcPr>
          <w:p w14:paraId="524FFA46" w14:textId="77777777" w:rsidR="001E40CC" w:rsidRPr="00F25886" w:rsidRDefault="001E40CC" w:rsidP="000006D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</w:rPr>
            </w:pPr>
            <w:r w:rsidRPr="00F25886">
              <w:rPr>
                <w:rFonts w:asciiTheme="minorHAnsi" w:hAnsiTheme="minorHAnsi" w:cstheme="minorHAnsi"/>
                <w:b/>
                <w:color w:val="538135" w:themeColor="accent6" w:themeShade="BF"/>
                <w:sz w:val="24"/>
              </w:rPr>
              <w:t>Additional resources</w:t>
            </w:r>
          </w:p>
          <w:p w14:paraId="61413B79" w14:textId="77777777" w:rsidR="001E40CC" w:rsidRPr="00F25886" w:rsidRDefault="001E40CC" w:rsidP="000006D7">
            <w:pPr>
              <w:rPr>
                <w:rFonts w:asciiTheme="minorHAnsi" w:hAnsiTheme="minorHAnsi" w:cstheme="minorHAnsi"/>
              </w:rPr>
            </w:pPr>
            <w:r w:rsidRPr="00F25886">
              <w:rPr>
                <w:rFonts w:asciiTheme="minorHAnsi" w:hAnsiTheme="minorHAnsi" w:cstheme="minorHAnsi"/>
                <w:sz w:val="20"/>
              </w:rPr>
              <w:t xml:space="preserve">A case-investigation form (CIF), frequently asked questions document (FAQ), Guidelines for the management and public health response to diphtheria (2018), and specimen collection guidelines are available at </w:t>
            </w:r>
            <w:hyperlink r:id="rId5" w:history="1">
              <w:r w:rsidRPr="00F25886">
                <w:rPr>
                  <w:rStyle w:val="Hyperlink"/>
                  <w:rFonts w:asciiTheme="minorHAnsi" w:hAnsiTheme="minorHAnsi" w:cstheme="minorHAnsi"/>
                </w:rPr>
                <w:t>http://www.nicd.ac.za/diseases-a-z-index/diphtheria/</w:t>
              </w:r>
            </w:hyperlink>
            <w:r w:rsidRPr="00F25886">
              <w:rPr>
                <w:rFonts w:asciiTheme="minorHAnsi" w:hAnsiTheme="minorHAnsi" w:cstheme="minorHAnsi"/>
              </w:rPr>
              <w:t xml:space="preserve"> </w:t>
            </w:r>
          </w:p>
          <w:p w14:paraId="1E938E50" w14:textId="77777777" w:rsidR="001E40CC" w:rsidRPr="00F25886" w:rsidRDefault="001E40CC" w:rsidP="00000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55827" w14:textId="2B2896EB" w:rsidR="001E40CC" w:rsidRPr="00F25886" w:rsidRDefault="001E40CC" w:rsidP="001E40CC">
      <w:pPr>
        <w:spacing w:after="200" w:line="276" w:lineRule="auto"/>
        <w:rPr>
          <w:rFonts w:asciiTheme="minorHAnsi" w:hAnsiTheme="minorHAnsi" w:cstheme="minorHAnsi"/>
          <w:b/>
          <w:bCs/>
          <w:color w:val="FF0000"/>
        </w:rPr>
      </w:pPr>
    </w:p>
    <w:sectPr w:rsidR="001E40CC" w:rsidRPr="00F25886" w:rsidSect="004A0C98">
      <w:headerReference w:type="default" r:id="rId6"/>
      <w:footerReference w:type="default" r:id="rId7"/>
      <w:footnotePr>
        <w:numFmt w:val="chicago"/>
        <w:numRestart w:val="eachPage"/>
      </w:footnotePr>
      <w:pgSz w:w="16838" w:h="11906" w:orient="landscape"/>
      <w:pgMar w:top="477" w:right="1440" w:bottom="709" w:left="144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361B" w14:textId="77777777" w:rsidR="00DF0E85" w:rsidRPr="00594B0C" w:rsidRDefault="001E40C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NMC case definitions flipchart v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7 April 2020</w:t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ptab w:relativeTo="margin" w:alignment="right" w:leader="none"/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Page </w: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begin"/>
    </w:r>
    <w:r w:rsidRPr="00594B0C">
      <w:rPr>
        <w:color w:val="A6A6A6" w:themeColor="background1" w:themeShade="A6"/>
        <w:sz w:val="18"/>
        <w:szCs w:val="18"/>
      </w:rPr>
      <w:instrText xml:space="preserve"> PAGE   \* MERGEFORMAT </w:instrTex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separate"/>
    </w:r>
    <w:r w:rsidRPr="004F79B6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2</w:t>
    </w:r>
    <w:r w:rsidRPr="00594B0C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fldChar w:fldCharType="end"/>
    </w:r>
  </w:p>
  <w:p w14:paraId="763D7808" w14:textId="77777777" w:rsidR="00DF0E85" w:rsidRDefault="001E40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460E3" w14:textId="77777777" w:rsidR="00DF0E85" w:rsidRPr="004A0C98" w:rsidRDefault="001E40CC" w:rsidP="007E3E30">
    <w:pPr>
      <w:pStyle w:val="Header"/>
      <w:pBdr>
        <w:bottom w:val="thickThinSmallGap" w:sz="24" w:space="1" w:color="823B0B" w:themeColor="accent2" w:themeShade="7F"/>
      </w:pBdr>
      <w:rPr>
        <w:rFonts w:ascii="Arial" w:eastAsia="Times New Roman" w:hAnsi="Arial" w:cs="Arial"/>
        <w:noProof/>
        <w:lang w:eastAsia="en-ZA"/>
      </w:rPr>
    </w:pP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</w:t>
    </w:r>
    <w:r w:rsidRPr="00DA0E37">
      <w:rPr>
        <w:rFonts w:ascii="Times New Roman" w:eastAsia="Times New Roman" w:hAnsi="Times New Roman" w:cs="Arial"/>
        <w:b/>
        <w:noProof/>
        <w:color w:val="00B050"/>
        <w:sz w:val="40"/>
        <w:szCs w:val="40"/>
        <w:lang w:eastAsia="en-ZA"/>
      </w:rPr>
      <w:drawing>
        <wp:inline distT="0" distB="0" distL="0" distR="0" wp14:anchorId="488A5B3B" wp14:editId="7EDACE48">
          <wp:extent cx="1360423" cy="56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I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2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NOTIFIABLE MEDICAL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CONDITIONS (NMC)</w:t>
    </w:r>
    <w:r w:rsidRPr="00DA0E37"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 CASE DEFINITIONS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FLIPCHART</w:t>
    </w:r>
    <w:r w:rsidRPr="00DA0E37">
      <w:rPr>
        <w:rFonts w:asciiTheme="majorHAnsi" w:eastAsiaTheme="majorEastAsia" w:hAnsiTheme="majorHAnsi" w:cstheme="majorBidi"/>
        <w:b/>
        <w:sz w:val="28"/>
        <w:szCs w:val="28"/>
        <w:lang w:val="en-US"/>
      </w:rPr>
      <w:t xml:space="preserve"> </w:t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77CA6"/>
    <w:multiLevelType w:val="hybridMultilevel"/>
    <w:tmpl w:val="FEB86B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C"/>
    <w:rsid w:val="00165B96"/>
    <w:rsid w:val="001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B43420"/>
  <w15:chartTrackingRefBased/>
  <w15:docId w15:val="{9E3F9C14-EB13-5E4E-9258-8535464C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CC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CC"/>
    <w:pPr>
      <w:ind w:left="720"/>
    </w:pPr>
  </w:style>
  <w:style w:type="table" w:styleId="TableGrid">
    <w:name w:val="Table Grid"/>
    <w:basedOn w:val="TableNormal"/>
    <w:uiPriority w:val="59"/>
    <w:rsid w:val="001E40C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E4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CC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CC"/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4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icd.ac.za/diseases-a-z-index/diphther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2021-08-19T08:20:00Z</dcterms:created>
  <dcterms:modified xsi:type="dcterms:W3CDTF">2021-08-19T08:22:00Z</dcterms:modified>
</cp:coreProperties>
</file>