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2BCE" w14:textId="77777777" w:rsidR="00EF1121" w:rsidRDefault="00000000">
      <w:pPr>
        <w:pStyle w:val="Title"/>
      </w:pPr>
      <w:r>
        <w:t>NOTIFIABLE MEDICAL CONDITIONS SURVEILLANCE SYSTEM</w:t>
      </w:r>
    </w:p>
    <w:p w14:paraId="1E3172CD" w14:textId="77777777" w:rsidR="00EF1121" w:rsidRDefault="00000000">
      <w:pPr>
        <w:pStyle w:val="Author"/>
      </w:pPr>
      <w:r>
        <w:t>the National Institute for Communicable Diseases</w:t>
      </w:r>
    </w:p>
    <w:p w14:paraId="6A0DEAC7" w14:textId="77777777" w:rsidR="00EF1121" w:rsidRDefault="00000000">
      <w:pPr>
        <w:pStyle w:val="Heading1"/>
      </w:pPr>
      <w:bookmarkStart w:id="0" w:name="introduction"/>
      <w:r>
        <w:t>Introduction</w:t>
      </w:r>
    </w:p>
    <w:p w14:paraId="32F4B8FF" w14:textId="77777777" w:rsidR="00EF1121" w:rsidRDefault="00000000">
      <w:pPr>
        <w:pStyle w:val="FirstParagraph"/>
      </w:pPr>
      <w:r>
        <w:t xml:space="preserve">This report summarizes data from the National Notifiable Medical Conditions Surveillance System (NMCSS) on cases notified during </w:t>
      </w:r>
      <w:r>
        <w:rPr>
          <w:b/>
          <w:bCs/>
        </w:rPr>
        <w:t>October 2023</w:t>
      </w:r>
      <w:r>
        <w:t>. Additionally, this report includes information on the distribution of case notifications by sources, such as clinical or laboratory notifications, merged cases (</w:t>
      </w:r>
      <w:r>
        <w:rPr>
          <w:b/>
          <w:bCs/>
        </w:rPr>
        <w:t>see Appendix no. 3</w:t>
      </w:r>
      <w:r>
        <w:t>), and the number of reported deaths. It monitors the use of the electronic NMC Reporting Application (App) for notification, data quality, specifically the completeness and timeliness of clinical diagnosis and notifications over time, and back-captured cases notified in October 2023 (</w:t>
      </w:r>
      <w:r>
        <w:rPr>
          <w:b/>
          <w:bCs/>
        </w:rPr>
        <w:t>see Appendix nos. 1 and 3</w:t>
      </w:r>
      <w:r>
        <w:t>). Category 4 NMCs, COVID-19, and multi-system inflammatory syndrome (MIS-C) have been excluded from this report.</w:t>
      </w:r>
    </w:p>
    <w:p w14:paraId="7169ED45" w14:textId="77777777" w:rsidR="00EF1121" w:rsidRDefault="00000000">
      <w:pPr>
        <w:pStyle w:val="Heading2"/>
      </w:pPr>
      <w:bookmarkStart w:id="1" w:name="highlights"/>
      <w:r>
        <w:t>Highlights</w:t>
      </w:r>
    </w:p>
    <w:p w14:paraId="07C059B8" w14:textId="77777777" w:rsidR="00EF1121" w:rsidRDefault="00000000">
      <w:pPr>
        <w:pStyle w:val="Compact"/>
        <w:numPr>
          <w:ilvl w:val="0"/>
          <w:numId w:val="20"/>
        </w:numPr>
      </w:pPr>
      <w:r>
        <w:t>A total of 12104 cases were notified in October 2023 and the majority were category 2 conditions.</w:t>
      </w:r>
    </w:p>
    <w:p w14:paraId="793E9FD0" w14:textId="536F8813" w:rsidR="00EF1121" w:rsidRDefault="00000000">
      <w:pPr>
        <w:pStyle w:val="Compact"/>
        <w:numPr>
          <w:ilvl w:val="0"/>
          <w:numId w:val="20"/>
        </w:numPr>
      </w:pPr>
      <w:r>
        <w:t xml:space="preserve">There were </w:t>
      </w:r>
      <w:r w:rsidR="00945971">
        <w:t>439</w:t>
      </w:r>
      <w:r>
        <w:t xml:space="preserve"> average active users of the NMC App in October 2023</w:t>
      </w:r>
    </w:p>
    <w:p w14:paraId="7285E2B3" w14:textId="5F78F6E1" w:rsidR="00EF1121" w:rsidRDefault="00000000">
      <w:pPr>
        <w:pStyle w:val="Compact"/>
        <w:numPr>
          <w:ilvl w:val="0"/>
          <w:numId w:val="20"/>
        </w:numPr>
      </w:pPr>
      <w:r>
        <w:t xml:space="preserve">Category 1 cases were reported in median (IQR) of </w:t>
      </w:r>
      <w:r w:rsidR="00BA38F4">
        <w:t>zero (0, 1) days.</w:t>
      </w:r>
    </w:p>
    <w:p w14:paraId="1556DBD9" w14:textId="77777777" w:rsidR="00EF1121" w:rsidRDefault="00000000">
      <w:pPr>
        <w:pStyle w:val="Heading2"/>
      </w:pPr>
      <w:bookmarkStart w:id="2" w:name="nmc-reporting-application"/>
      <w:bookmarkEnd w:id="1"/>
      <w:r>
        <w:t xml:space="preserve">NMC Reporting </w:t>
      </w:r>
      <w:proofErr w:type="gramStart"/>
      <w:r>
        <w:t>application</w:t>
      </w:r>
      <w:proofErr w:type="gramEnd"/>
    </w:p>
    <w:p w14:paraId="403CE02F" w14:textId="67272C6A" w:rsidR="00EF1121" w:rsidRDefault="00000000">
      <w:pPr>
        <w:pStyle w:val="Compact"/>
        <w:numPr>
          <w:ilvl w:val="0"/>
          <w:numId w:val="21"/>
        </w:numPr>
      </w:pPr>
      <w:hyperlink r:id="rId7">
        <w:r>
          <w:rPr>
            <w:rStyle w:val="Hyperlink"/>
          </w:rPr>
          <w:t>NMC Reporting App</w:t>
        </w:r>
      </w:hyperlink>
      <w:r>
        <w:t xml:space="preserve"> is available on both web and mobile </w:t>
      </w:r>
      <w:proofErr w:type="gramStart"/>
      <w:r>
        <w:t>platforms</w:t>
      </w:r>
      <w:proofErr w:type="gramEnd"/>
    </w:p>
    <w:p w14:paraId="7A71486E" w14:textId="77777777" w:rsidR="00EF1121" w:rsidRDefault="00000000">
      <w:pPr>
        <w:pStyle w:val="Compact"/>
        <w:numPr>
          <w:ilvl w:val="0"/>
          <w:numId w:val="21"/>
        </w:numPr>
      </w:pPr>
      <w:r>
        <w:t>Use recommended browsers in order to access NMC reporting App for notifications, searching of cases and reports.</w:t>
      </w:r>
    </w:p>
    <w:p w14:paraId="66F4B099" w14:textId="77777777" w:rsidR="00EF1121" w:rsidRDefault="00000000">
      <w:pPr>
        <w:pStyle w:val="Compact"/>
        <w:numPr>
          <w:ilvl w:val="0"/>
          <w:numId w:val="21"/>
        </w:numPr>
      </w:pPr>
      <w:r>
        <w:t xml:space="preserve">Register if you have no NMC account and you can reset the password if you have not used the application over 12 months. </w:t>
      </w:r>
      <w:r>
        <w:rPr>
          <w:noProof/>
        </w:rPr>
        <w:drawing>
          <wp:inline distT="0" distB="0" distL="0" distR="0" wp14:anchorId="21EB6618" wp14:editId="5EB863C9">
            <wp:extent cx="8546443" cy="917179"/>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images/NOTE.png"/>
                    <pic:cNvPicPr>
                      <a:picLocks noChangeAspect="1" noChangeArrowheads="1"/>
                    </pic:cNvPicPr>
                  </pic:nvPicPr>
                  <pic:blipFill>
                    <a:blip r:embed="rId8"/>
                    <a:stretch>
                      <a:fillRect/>
                    </a:stretch>
                  </pic:blipFill>
                  <pic:spPr bwMode="auto">
                    <a:xfrm>
                      <a:off x="0" y="0"/>
                      <a:ext cx="8546443" cy="917179"/>
                    </a:xfrm>
                    <a:prstGeom prst="rect">
                      <a:avLst/>
                    </a:prstGeom>
                    <a:noFill/>
                    <a:ln w="9525">
                      <a:noFill/>
                      <a:headEnd/>
                      <a:tailEnd/>
                    </a:ln>
                  </pic:spPr>
                </pic:pic>
              </a:graphicData>
            </a:graphic>
          </wp:inline>
        </w:drawing>
      </w:r>
      <w:r>
        <w:t xml:space="preserve"> </w:t>
      </w:r>
    </w:p>
    <w:p w14:paraId="5427DB89" w14:textId="77777777" w:rsidR="00EF1121" w:rsidRDefault="00000000">
      <w:pPr>
        <w:pStyle w:val="Heading2"/>
      </w:pPr>
      <w:bookmarkStart w:id="3" w:name="category-1-conditions-at-a-glance"/>
      <w:bookmarkEnd w:id="2"/>
      <w:r>
        <w:lastRenderedPageBreak/>
        <w:t>Category 1 Conditions at a glance</w:t>
      </w:r>
    </w:p>
    <w:p w14:paraId="181DFD93" w14:textId="77777777" w:rsidR="00EF1121" w:rsidRDefault="00000000">
      <w:pPr>
        <w:pStyle w:val="TableCaption"/>
      </w:pPr>
      <w:bookmarkStart w:id="4" w:name="tab:unnamed-chunk-5"/>
      <w:bookmarkEnd w:id="4"/>
      <w:r>
        <w:t>Table 1: The number of notifications that are suspected and confirmed for category 1 conditions.</w:t>
      </w:r>
    </w:p>
    <w:tbl>
      <w:tblPr>
        <w:tblW w:w="4950" w:type="pct"/>
        <w:jc w:val="center"/>
        <w:tblLook w:val="0420" w:firstRow="1" w:lastRow="0" w:firstColumn="0" w:lastColumn="0" w:noHBand="0" w:noVBand="1"/>
      </w:tblPr>
      <w:tblGrid>
        <w:gridCol w:w="7229"/>
        <w:gridCol w:w="3810"/>
        <w:gridCol w:w="2504"/>
      </w:tblGrid>
      <w:tr w:rsidR="00EF18AE" w14:paraId="06D0388C" w14:textId="77777777" w:rsidTr="00B51BFA">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0AC3F" w14:textId="77777777" w:rsidR="00EF18AE" w:rsidRDefault="00EF18AE" w:rsidP="00B51BFA">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Condition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C9187" w14:textId="77777777" w:rsidR="00EF18AE" w:rsidRDefault="00EF18AE"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Suspected/Probable Case</w:t>
            </w:r>
            <w:r>
              <w:rPr>
                <w:rFonts w:eastAsia="Helvetica" w:hAnsi="Helvetica" w:cs="Helvetica"/>
                <w:color w:val="000000"/>
                <w:sz w:val="18"/>
                <w:szCs w:val="18"/>
              </w:rPr>
              <w:t xml:space="preserve">, </w:t>
            </w:r>
            <w:r>
              <w:rPr>
                <w:rFonts w:eastAsia="Helvetica" w:hAnsi="Helvetica" w:cs="Helvetica"/>
                <w:color w:val="000000"/>
                <w:sz w:val="18"/>
                <w:szCs w:val="18"/>
              </w:rPr>
              <w:br/>
              <w:t>N = 745</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7BB10" w14:textId="77777777" w:rsidR="00EF18AE" w:rsidRDefault="00EF18AE"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Confirmed Case</w:t>
            </w:r>
            <w:r>
              <w:rPr>
                <w:rFonts w:eastAsia="Helvetica" w:hAnsi="Helvetica" w:cs="Helvetica"/>
                <w:color w:val="000000"/>
                <w:sz w:val="18"/>
                <w:szCs w:val="18"/>
              </w:rPr>
              <w:t xml:space="preserve">, </w:t>
            </w:r>
            <w:r>
              <w:rPr>
                <w:rFonts w:eastAsia="Helvetica" w:hAnsi="Helvetica" w:cs="Helvetica"/>
                <w:color w:val="000000"/>
                <w:sz w:val="18"/>
                <w:szCs w:val="18"/>
              </w:rPr>
              <w:br/>
              <w:t>N = 638</w:t>
            </w:r>
            <w:r>
              <w:rPr>
                <w:rFonts w:eastAsia="Helvetica" w:hAnsi="Helvetica" w:cs="Helvetica"/>
                <w:color w:val="000000"/>
                <w:sz w:val="18"/>
                <w:szCs w:val="18"/>
                <w:vertAlign w:val="superscript"/>
              </w:rPr>
              <w:t>1</w:t>
            </w:r>
          </w:p>
        </w:tc>
      </w:tr>
      <w:tr w:rsidR="00EF18AE" w14:paraId="2E61829E" w14:textId="77777777" w:rsidTr="00B51BFA">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15FD44"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Acute Flaccid Paralysis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A21290"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AEF7B4"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8AE" w14:paraId="27B6836A"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DCB326"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Cholera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D1AB25"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9F8B78"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8AE" w14:paraId="58100315"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C4710"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rubella syndrome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9EE436"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A5DCAF"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r>
      <w:tr w:rsidR="00EF18AE" w14:paraId="4C36730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5330D7"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 xml:space="preserve">Crimean-Congo viral </w:t>
            </w:r>
            <w:proofErr w:type="spellStart"/>
            <w:r>
              <w:rPr>
                <w:rFonts w:eastAsia="Helvetica" w:hAnsi="Helvetica" w:cs="Helvetica"/>
                <w:color w:val="000000"/>
                <w:sz w:val="18"/>
                <w:szCs w:val="18"/>
              </w:rPr>
              <w:t>haemorrhagic</w:t>
            </w:r>
            <w:proofErr w:type="spellEnd"/>
            <w:r>
              <w:rPr>
                <w:rFonts w:eastAsia="Helvetica" w:hAnsi="Helvetica" w:cs="Helvetica"/>
                <w:color w:val="000000"/>
                <w:sz w:val="18"/>
                <w:szCs w:val="18"/>
              </w:rPr>
              <w:t xml:space="preserve"> fever (human)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859DBF"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0162C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8AE" w14:paraId="2C0A57F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E8E455"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Diphtheria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8C8193"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539F13"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8AE" w14:paraId="698FE352"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DE9F0A"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Enteric fever (typhoid or paratyphoid fever)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880E76"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9F97D0"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w:t>
            </w:r>
          </w:p>
        </w:tc>
      </w:tr>
      <w:tr w:rsidR="00EF18AE" w14:paraId="1CF4C32E"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10BC0C"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Food borne illness outbreak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0AEA7B"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D24D86"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8AE" w14:paraId="69D3CF51"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089B5"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proofErr w:type="spellStart"/>
            <w:r>
              <w:rPr>
                <w:rFonts w:eastAsia="Helvetica" w:hAnsi="Helvetica" w:cs="Helvetica"/>
                <w:color w:val="000000"/>
                <w:sz w:val="18"/>
                <w:szCs w:val="18"/>
              </w:rPr>
              <w:t>Haemolytic</w:t>
            </w:r>
            <w:proofErr w:type="spellEnd"/>
            <w:r>
              <w:rPr>
                <w:rFonts w:eastAsia="Helvetica" w:hAnsi="Helvetica" w:cs="Helvetica"/>
                <w:color w:val="000000"/>
                <w:sz w:val="18"/>
                <w:szCs w:val="18"/>
              </w:rPr>
              <w:t xml:space="preserve"> </w:t>
            </w:r>
            <w:proofErr w:type="spellStart"/>
            <w:r>
              <w:rPr>
                <w:rFonts w:eastAsia="Helvetica" w:hAnsi="Helvetica" w:cs="Helvetica"/>
                <w:color w:val="000000"/>
                <w:sz w:val="18"/>
                <w:szCs w:val="18"/>
              </w:rPr>
              <w:t>uraemic</w:t>
            </w:r>
            <w:proofErr w:type="spellEnd"/>
            <w:r>
              <w:rPr>
                <w:rFonts w:eastAsia="Helvetica" w:hAnsi="Helvetica" w:cs="Helvetica"/>
                <w:color w:val="000000"/>
                <w:sz w:val="18"/>
                <w:szCs w:val="18"/>
              </w:rPr>
              <w:t xml:space="preserve"> syndrome (HUS)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DFE854"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E0B6DC"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8AE" w14:paraId="37A63B1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C5358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Listeriosis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A2A953"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469A9D"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r>
      <w:tr w:rsidR="00EF18AE" w14:paraId="114B67AE"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36F60A"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Malaria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9DF68"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sidRPr="001639BB">
              <w:rPr>
                <w:rFonts w:eastAsia="Helvetica" w:hAnsi="Helvetica" w:cs="Helvetica"/>
                <w:color w:val="000000"/>
                <w:sz w:val="18"/>
                <w:szCs w:val="18"/>
              </w:rPr>
              <w:t>114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C89B3"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375</w:t>
            </w:r>
          </w:p>
        </w:tc>
      </w:tr>
      <w:tr w:rsidR="00EF18AE" w14:paraId="0F0A2CC3"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D534E9"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Measles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B990C"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0B495D"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w:t>
            </w:r>
          </w:p>
        </w:tc>
      </w:tr>
      <w:tr w:rsidR="00EF18AE" w14:paraId="7D649C89"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63DC41"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Meningococcal Disease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0571EB"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F02914"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r>
      <w:tr w:rsidR="00EF18AE" w14:paraId="24044E37"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D61D6C"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Pertussis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337036"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646F08"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96</w:t>
            </w:r>
          </w:p>
        </w:tc>
      </w:tr>
      <w:tr w:rsidR="00EF18AE" w14:paraId="7AC77648"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39525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Rabies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17F26D"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BC02E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8AE" w14:paraId="6B1116DA" w14:textId="77777777" w:rsidTr="00B51BFA">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111B4B9"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Rubella</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F4EEDC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34</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203E912"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87</w:t>
            </w:r>
          </w:p>
        </w:tc>
      </w:tr>
      <w:tr w:rsidR="00EF18AE" w14:paraId="56C998D1" w14:textId="77777777" w:rsidTr="00B51BFA">
        <w:trPr>
          <w:jc w:val="center"/>
        </w:trPr>
        <w:tc>
          <w:tcPr>
            <w:tcW w:w="0" w:type="auto"/>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A695B3" w14:textId="77777777" w:rsidR="00EF18AE" w:rsidRDefault="00EF18AE" w:rsidP="00B51BFA">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vertAlign w:val="superscript"/>
              </w:rPr>
              <w:t>1</w:t>
            </w:r>
            <w:r>
              <w:rPr>
                <w:rFonts w:eastAsia="Helvetica" w:hAnsi="Helvetica" w:cs="Helvetica"/>
                <w:color w:val="000000"/>
                <w:sz w:val="18"/>
                <w:szCs w:val="18"/>
              </w:rPr>
              <w:t>n</w:t>
            </w:r>
          </w:p>
        </w:tc>
      </w:tr>
    </w:tbl>
    <w:p w14:paraId="1972DCC9" w14:textId="77777777" w:rsidR="00EF1121" w:rsidRDefault="00000000">
      <w:r>
        <w:br w:type="page"/>
      </w:r>
    </w:p>
    <w:p w14:paraId="668CD545" w14:textId="77777777" w:rsidR="00EF1121" w:rsidRDefault="00000000">
      <w:pPr>
        <w:pStyle w:val="Heading1"/>
      </w:pPr>
      <w:bookmarkStart w:id="5" w:name="nmc-data-summary-october-2023"/>
      <w:bookmarkEnd w:id="0"/>
      <w:bookmarkEnd w:id="3"/>
      <w:r>
        <w:lastRenderedPageBreak/>
        <w:t>NMC data summary, October 2023</w:t>
      </w:r>
    </w:p>
    <w:p w14:paraId="43DEB87E" w14:textId="77777777" w:rsidR="00EF1121" w:rsidRDefault="00000000">
      <w:pPr>
        <w:pStyle w:val="FirstParagraph"/>
      </w:pPr>
      <w:r>
        <w:t xml:space="preserve">A total of n=13187 cases were diagnosed and notified to the NMCSS in October 2023 </w:t>
      </w:r>
      <w:r>
        <w:rPr>
          <w:b/>
          <w:bCs/>
        </w:rPr>
        <w:t>(See Appendix no.3 for definitions)</w:t>
      </w:r>
      <w:r>
        <w:t>. There were 12104 current notifications; the majority (n=10 597, 88%) were category 2 conditions. The provinces with the highest number of notifications were GP (2 892, 24%), KZN (2 592, 21%), and WC (2 116, 17%). The provinces with the least number of notifications were NC (485, 4.0%), and MP (534, 4.4%). (</w:t>
      </w:r>
      <w:r>
        <w:rPr>
          <w:b/>
          <w:bCs/>
        </w:rPr>
        <w:t>Figure 1</w:t>
      </w:r>
      <w:r>
        <w:t>) There were 1083 back captured clinical notifications diagnosed between October, 2013 and October 2023 and only notified in October 2023. The majority (727, 67%) of those notifications were cases TB:pulmonary notifications. (</w:t>
      </w:r>
      <w:r>
        <w:rPr>
          <w:b/>
          <w:bCs/>
        </w:rPr>
        <w:t>See Appendix no.1</w:t>
      </w:r>
      <w:r>
        <w:t>).</w:t>
      </w:r>
    </w:p>
    <w:p w14:paraId="5258A059" w14:textId="77777777" w:rsidR="00EF1121" w:rsidRDefault="00000000">
      <w:pPr>
        <w:pStyle w:val="TableCaption"/>
      </w:pPr>
      <w:bookmarkStart w:id="6" w:name="tab:tbl-cat-bycase"/>
      <w:bookmarkEnd w:id="6"/>
      <w:r>
        <w:t>Table 2: Description of NMC notifications by case source</w:t>
      </w:r>
    </w:p>
    <w:tbl>
      <w:tblPr>
        <w:tblW w:w="4950" w:type="pct"/>
        <w:jc w:val="center"/>
        <w:tblLook w:val="0420" w:firstRow="1" w:lastRow="0" w:firstColumn="0" w:lastColumn="0" w:noHBand="0" w:noVBand="1"/>
      </w:tblPr>
      <w:tblGrid>
        <w:gridCol w:w="2237"/>
        <w:gridCol w:w="2697"/>
        <w:gridCol w:w="2967"/>
        <w:gridCol w:w="3389"/>
        <w:gridCol w:w="2253"/>
      </w:tblGrid>
      <w:tr w:rsidR="00EF1121" w14:paraId="36C19CD6"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C69B9"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NMC Category</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0AD8E"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Overall</w:t>
            </w:r>
            <w:r>
              <w:rPr>
                <w:rFonts w:eastAsia="Helvetica" w:hAnsi="Helvetica" w:cs="Helvetica"/>
                <w:color w:val="000000"/>
                <w:sz w:val="18"/>
                <w:szCs w:val="18"/>
              </w:rPr>
              <w:t>, N = 12 104</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4F082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Clinical notifications</w:t>
            </w:r>
            <w:r>
              <w:rPr>
                <w:rFonts w:eastAsia="Helvetica" w:hAnsi="Helvetica" w:cs="Helvetica"/>
                <w:color w:val="000000"/>
                <w:sz w:val="18"/>
                <w:szCs w:val="18"/>
              </w:rPr>
              <w:t xml:space="preserve">, </w:t>
            </w:r>
            <w:r>
              <w:rPr>
                <w:rFonts w:eastAsia="Helvetica" w:hAnsi="Helvetica" w:cs="Helvetica"/>
                <w:color w:val="000000"/>
                <w:sz w:val="18"/>
                <w:szCs w:val="18"/>
              </w:rPr>
              <w:br/>
              <w:t>n = 8976</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8019A"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Laboratory notifications</w:t>
            </w:r>
            <w:r>
              <w:rPr>
                <w:rFonts w:eastAsia="Helvetica" w:hAnsi="Helvetica" w:cs="Helvetica"/>
                <w:color w:val="000000"/>
                <w:sz w:val="18"/>
                <w:szCs w:val="18"/>
              </w:rPr>
              <w:t xml:space="preserve">, </w:t>
            </w:r>
            <w:r>
              <w:rPr>
                <w:rFonts w:eastAsia="Helvetica" w:hAnsi="Helvetica" w:cs="Helvetica"/>
                <w:color w:val="000000"/>
                <w:sz w:val="18"/>
                <w:szCs w:val="18"/>
              </w:rPr>
              <w:br/>
              <w:t>n = 2657</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25772"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Merged Cases</w:t>
            </w:r>
            <w:r>
              <w:rPr>
                <w:rFonts w:eastAsia="Helvetica" w:hAnsi="Helvetica" w:cs="Helvetica"/>
                <w:color w:val="000000"/>
                <w:sz w:val="18"/>
                <w:szCs w:val="18"/>
              </w:rPr>
              <w:t xml:space="preserve">, </w:t>
            </w:r>
            <w:r>
              <w:rPr>
                <w:rFonts w:eastAsia="Helvetica" w:hAnsi="Helvetica" w:cs="Helvetica"/>
                <w:color w:val="000000"/>
                <w:sz w:val="18"/>
                <w:szCs w:val="18"/>
              </w:rPr>
              <w:br/>
              <w:t>n = 471</w:t>
            </w:r>
          </w:p>
        </w:tc>
      </w:tr>
      <w:tr w:rsidR="00EF1121" w14:paraId="579A2BB2"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AA914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Category 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948BA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1 383 (11%)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BED30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746 (8.3%)</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B3488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427 (16%)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F3373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210 (45%)</w:t>
            </w:r>
          </w:p>
        </w:tc>
      </w:tr>
      <w:tr w:rsidR="00EF1121" w14:paraId="272CB20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8B29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Category 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B1B17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10 597 (88%)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1AD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8 230 (92%)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8778A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2 118 (80%)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2C5E5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249 (53%)</w:t>
            </w:r>
          </w:p>
        </w:tc>
      </w:tr>
      <w:tr w:rsidR="00EF1121" w14:paraId="4EB3C01C" w14:textId="77777777">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8B6C91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Category 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74DCF6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124 (1.0%)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F19632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BFCA6E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112 (4.2%)</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69AE0E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 (2.5%)</w:t>
            </w:r>
          </w:p>
        </w:tc>
      </w:tr>
    </w:tbl>
    <w:p w14:paraId="60DDCE1B" w14:textId="77777777" w:rsidR="00EF1121" w:rsidRDefault="00000000">
      <w:r>
        <w:br w:type="page"/>
      </w:r>
    </w:p>
    <w:p w14:paraId="3838DD24" w14:textId="77777777" w:rsidR="00EF1121" w:rsidRDefault="00000000">
      <w:pPr>
        <w:pStyle w:val="Heading2"/>
      </w:pPr>
      <w:bookmarkStart w:id="7" w:name="app-use"/>
      <w:r>
        <w:lastRenderedPageBreak/>
        <w:t>App use</w:t>
      </w:r>
    </w:p>
    <w:p w14:paraId="7888872A" w14:textId="77777777" w:rsidR="00EF1121" w:rsidRDefault="00000000">
      <w:pPr>
        <w:pStyle w:val="CaptionedFigure"/>
      </w:pPr>
      <w:r>
        <w:rPr>
          <w:noProof/>
        </w:rPr>
        <w:drawing>
          <wp:inline distT="0" distB="0" distL="0" distR="0" wp14:anchorId="62D8F148" wp14:editId="37AD3A23">
            <wp:extent cx="6407207" cy="3661261"/>
            <wp:effectExtent l="0" t="0" r="0" b="0"/>
            <wp:docPr id="31" name="Picture" descr="Figure 1: Distribution of notifications by province and notification type"/>
            <wp:cNvGraphicFramePr/>
            <a:graphic xmlns:a="http://schemas.openxmlformats.org/drawingml/2006/main">
              <a:graphicData uri="http://schemas.openxmlformats.org/drawingml/2006/picture">
                <pic:pic xmlns:pic="http://schemas.openxmlformats.org/drawingml/2006/picture">
                  <pic:nvPicPr>
                    <pic:cNvPr id="32" name="Picture" descr="plot.png"/>
                    <pic:cNvPicPr>
                      <a:picLocks noChangeAspect="1" noChangeArrowheads="1"/>
                    </pic:cNvPicPr>
                  </pic:nvPicPr>
                  <pic:blipFill>
                    <a:blip r:embed="rId9"/>
                    <a:stretch>
                      <a:fillRect/>
                    </a:stretch>
                  </pic:blipFill>
                  <pic:spPr bwMode="auto">
                    <a:xfrm>
                      <a:off x="0" y="0"/>
                      <a:ext cx="6407207" cy="3661261"/>
                    </a:xfrm>
                    <a:prstGeom prst="rect">
                      <a:avLst/>
                    </a:prstGeom>
                    <a:noFill/>
                    <a:ln w="9525">
                      <a:noFill/>
                      <a:headEnd/>
                      <a:tailEnd/>
                    </a:ln>
                  </pic:spPr>
                </pic:pic>
              </a:graphicData>
            </a:graphic>
          </wp:inline>
        </w:drawing>
      </w:r>
    </w:p>
    <w:p w14:paraId="28B65557" w14:textId="77777777" w:rsidR="00EF1121" w:rsidRDefault="00000000">
      <w:pPr>
        <w:pStyle w:val="ImageCaption"/>
      </w:pPr>
      <w:bookmarkStart w:id="8" w:name="fig:unnamed-chunk-7"/>
      <w:bookmarkEnd w:id="8"/>
      <w:r>
        <w:t>Figure 1: Distribution of notifications by province and notification type</w:t>
      </w:r>
    </w:p>
    <w:p w14:paraId="75F4A07A" w14:textId="77777777" w:rsidR="00EF1121" w:rsidRDefault="00000000">
      <w:pPr>
        <w:pStyle w:val="BodyText"/>
      </w:pPr>
      <w:r>
        <w:t>There were 772 (8.2%) Clinical notifications from from the private sector (i.e. private hospitals, private practice and mining industry) compared to 8 674 (92%) in the public sector. Clinical notifications using the NMC Reporting Application made up 8820 (97%) (see Table 3 ).</w:t>
      </w:r>
    </w:p>
    <w:p w14:paraId="44BD592A" w14:textId="77777777" w:rsidR="00EF1121" w:rsidRDefault="00000000">
      <w:r>
        <w:br w:type="page"/>
      </w:r>
    </w:p>
    <w:p w14:paraId="2F126904" w14:textId="77777777" w:rsidR="00EF1121" w:rsidRDefault="00000000">
      <w:pPr>
        <w:pStyle w:val="TableCaption"/>
      </w:pPr>
      <w:bookmarkStart w:id="9" w:name="tab:tab-notifications"/>
      <w:bookmarkEnd w:id="9"/>
      <w:r>
        <w:lastRenderedPageBreak/>
        <w:t>Table 3: Clinical notifications notified by provinces, reporting platform, and sector</w:t>
      </w:r>
    </w:p>
    <w:tbl>
      <w:tblPr>
        <w:tblW w:w="4950" w:type="pct"/>
        <w:jc w:val="center"/>
        <w:tblLook w:val="0420" w:firstRow="1" w:lastRow="0" w:firstColumn="0" w:lastColumn="0" w:noHBand="0" w:noVBand="1"/>
      </w:tblPr>
      <w:tblGrid>
        <w:gridCol w:w="1344"/>
        <w:gridCol w:w="2417"/>
        <w:gridCol w:w="1950"/>
        <w:gridCol w:w="1864"/>
        <w:gridCol w:w="3027"/>
        <w:gridCol w:w="2941"/>
      </w:tblGrid>
      <w:tr w:rsidR="00EF1121" w14:paraId="244CBD5C"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3803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Province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B906E"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Overall</w:t>
            </w:r>
            <w:r>
              <w:rPr>
                <w:rFonts w:eastAsia="Helvetica" w:hAnsi="Helvetica" w:cs="Helvetica"/>
                <w:color w:val="000000"/>
                <w:sz w:val="18"/>
                <w:szCs w:val="18"/>
              </w:rPr>
              <w:t>, N = 9 077</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0B7F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App - Private</w:t>
            </w:r>
            <w:r>
              <w:rPr>
                <w:rFonts w:eastAsia="Helvetica" w:hAnsi="Helvetica" w:cs="Helvetica"/>
                <w:color w:val="000000"/>
                <w:sz w:val="18"/>
                <w:szCs w:val="18"/>
              </w:rPr>
              <w:t xml:space="preserve">, </w:t>
            </w:r>
            <w:r>
              <w:rPr>
                <w:rFonts w:eastAsia="Helvetica" w:hAnsi="Helvetica" w:cs="Helvetica"/>
                <w:color w:val="000000"/>
                <w:sz w:val="18"/>
                <w:szCs w:val="18"/>
              </w:rPr>
              <w:br/>
              <w:t>n = 750</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D1BD9"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App - Public</w:t>
            </w:r>
            <w:r>
              <w:rPr>
                <w:rFonts w:eastAsia="Helvetica" w:hAnsi="Helvetica" w:cs="Helvetica"/>
                <w:color w:val="000000"/>
                <w:sz w:val="18"/>
                <w:szCs w:val="18"/>
              </w:rPr>
              <w:t xml:space="preserve">, </w:t>
            </w:r>
            <w:r>
              <w:rPr>
                <w:rFonts w:eastAsia="Helvetica" w:hAnsi="Helvetica" w:cs="Helvetica"/>
                <w:color w:val="000000"/>
                <w:sz w:val="18"/>
                <w:szCs w:val="18"/>
              </w:rPr>
              <w:br/>
              <w:t>n = 8070</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22D5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Paper-based - Private</w:t>
            </w:r>
            <w:r>
              <w:rPr>
                <w:rFonts w:eastAsia="Helvetica" w:hAnsi="Helvetica" w:cs="Helvetica"/>
                <w:color w:val="000000"/>
                <w:sz w:val="18"/>
                <w:szCs w:val="18"/>
              </w:rPr>
              <w:t xml:space="preserve">, </w:t>
            </w:r>
            <w:r>
              <w:rPr>
                <w:rFonts w:eastAsia="Helvetica" w:hAnsi="Helvetica" w:cs="Helvetica"/>
                <w:color w:val="000000"/>
                <w:sz w:val="18"/>
                <w:szCs w:val="18"/>
              </w:rPr>
              <w:br/>
              <w:t>n = 19</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371A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Paper-based - Public</w:t>
            </w:r>
            <w:r>
              <w:rPr>
                <w:rFonts w:eastAsia="Helvetica" w:hAnsi="Helvetica" w:cs="Helvetica"/>
                <w:color w:val="000000"/>
                <w:sz w:val="18"/>
                <w:szCs w:val="18"/>
              </w:rPr>
              <w:t xml:space="preserve">, </w:t>
            </w:r>
            <w:r>
              <w:rPr>
                <w:rFonts w:eastAsia="Helvetica" w:hAnsi="Helvetica" w:cs="Helvetica"/>
                <w:color w:val="000000"/>
                <w:sz w:val="18"/>
                <w:szCs w:val="18"/>
              </w:rPr>
              <w:br/>
              <w:t>n = 238</w:t>
            </w:r>
          </w:p>
        </w:tc>
      </w:tr>
      <w:tr w:rsidR="00EF1121" w14:paraId="1F97F9A7"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093F2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GP</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C86E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2 626 (100%)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49819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240 (9.1%)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FE3D6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2 384 (91%)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874CE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(&lt;0.1%)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9DE64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414E023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51369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WC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A7034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1 840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36D51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132 (7.2%)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A136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1 605 (87%)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E6F86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D5A60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96 (5.2%)</w:t>
            </w:r>
          </w:p>
        </w:tc>
      </w:tr>
      <w:tr w:rsidR="00EF1121" w14:paraId="040613C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B835B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KZN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F0EA9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1 318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3B50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139 (11%)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24032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1 168 (89%)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947C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62A2A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(0.5%)</w:t>
            </w:r>
          </w:p>
        </w:tc>
      </w:tr>
      <w:tr w:rsidR="00EF1121" w14:paraId="71CDA62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321EA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EC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CEA03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1 031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E55CF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58 (5.6%)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2D04D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918 (89%)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1E948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34C74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51 (4.9%)</w:t>
            </w:r>
          </w:p>
        </w:tc>
      </w:tr>
      <w:tr w:rsidR="00EF1121" w14:paraId="2AFE4540"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6C7C0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DE688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563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5C594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30 (5.3%)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DAFED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532 (94%)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707C5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5DF7F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(0.2%)</w:t>
            </w:r>
          </w:p>
        </w:tc>
      </w:tr>
      <w:tr w:rsidR="00EF1121" w14:paraId="1771744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B37A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FS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702B1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514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31E50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51 (9.9%)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2CF97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463 (90%)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6A361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AA32F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35DFB2EE"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85FBF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NW</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20137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470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9782E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31 (6.6%)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85235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370 (79%)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A8C6F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E7060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69 (15%)</w:t>
            </w:r>
          </w:p>
        </w:tc>
      </w:tr>
      <w:tr w:rsidR="00EF1121" w14:paraId="6D1868B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E0339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NC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29287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435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021E9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27 (6.2%)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5B89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402 (92%)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B6D1C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99EC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(1.4%)</w:t>
            </w:r>
          </w:p>
        </w:tc>
      </w:tr>
      <w:tr w:rsidR="00EF1121" w14:paraId="2557A31D" w14:textId="77777777">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C76B24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0A1969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280 (100%)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21A3DE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42 (15%)</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3C578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228 (81%)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9B6093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(0.7%)</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78C1D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(2.9%)</w:t>
            </w:r>
          </w:p>
        </w:tc>
      </w:tr>
    </w:tbl>
    <w:p w14:paraId="78571D2A" w14:textId="77777777" w:rsidR="004F758A" w:rsidRDefault="004F758A" w:rsidP="004F758A"/>
    <w:p w14:paraId="1DECB092" w14:textId="33B66BEC" w:rsidR="00EF1121" w:rsidRDefault="00000000" w:rsidP="004F758A">
      <w:r>
        <w:t xml:space="preserve">The majority of the notified cases were Males </w:t>
      </w:r>
      <w:proofErr w:type="gramStart"/>
      <w:r>
        <w:t>n(</w:t>
      </w:r>
      <w:proofErr w:type="gramEnd"/>
      <w:r>
        <w:t>%) 7 185 (59%). Individuals in the 35-39 year age group represented the majority (1 420 (12%)) of notified cases (Table 3). At the time of notificaiton, approximately 2 774 (23%) of the notified cases were hospitalized, while 122 (1.0%) were transferred to another healthcare facility. There were 116 deaths notified during the reporting period with case fatality rate of 1.0%.</w:t>
      </w:r>
    </w:p>
    <w:p w14:paraId="1C3E88B7" w14:textId="77777777" w:rsidR="00EF1121" w:rsidRDefault="00000000">
      <w:r>
        <w:br w:type="page"/>
      </w:r>
    </w:p>
    <w:p w14:paraId="260F8662" w14:textId="77777777" w:rsidR="00EF1121" w:rsidRDefault="00000000">
      <w:pPr>
        <w:pStyle w:val="Heading2"/>
      </w:pPr>
      <w:bookmarkStart w:id="10" w:name="hospital-form-completeness"/>
      <w:bookmarkEnd w:id="7"/>
      <w:r>
        <w:lastRenderedPageBreak/>
        <w:t>Hospital Form Completeness</w:t>
      </w:r>
    </w:p>
    <w:p w14:paraId="3CA33664" w14:textId="77777777" w:rsidR="00EF1121" w:rsidRDefault="00000000">
      <w:pPr>
        <w:pStyle w:val="TableCaption"/>
      </w:pPr>
      <w:bookmarkStart w:id="11" w:name="tab:unnamed-chunk-12"/>
      <w:bookmarkEnd w:id="11"/>
      <w:r>
        <w:t>Table 4: Completion of hospitalisation form for notificatiosn reported as inpatients with category 1 conditions. Comlpete refers to &gt;80% of variables completed.</w:t>
      </w:r>
    </w:p>
    <w:tbl>
      <w:tblPr>
        <w:tblW w:w="5000" w:type="pct"/>
        <w:jc w:val="center"/>
        <w:tblLook w:val="0420" w:firstRow="1" w:lastRow="0" w:firstColumn="0" w:lastColumn="0" w:noHBand="0" w:noVBand="1"/>
      </w:tblPr>
      <w:tblGrid>
        <w:gridCol w:w="3718"/>
        <w:gridCol w:w="2035"/>
        <w:gridCol w:w="2208"/>
        <w:gridCol w:w="3300"/>
        <w:gridCol w:w="2419"/>
      </w:tblGrid>
      <w:tr w:rsidR="00EF1121" w14:paraId="2FEE93E7"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A7D8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Hospital Form Completed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EB72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Complete</w:t>
            </w:r>
            <w:r>
              <w:rPr>
                <w:rFonts w:eastAsia="Helvetica" w:hAnsi="Helvetica" w:cs="Helvetica"/>
                <w:color w:val="000000"/>
                <w:sz w:val="18"/>
                <w:szCs w:val="18"/>
              </w:rPr>
              <w:t>, n = 20 (4.7%)</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435F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Incomplete</w:t>
            </w:r>
            <w:r>
              <w:rPr>
                <w:rFonts w:eastAsia="Helvetica" w:hAnsi="Helvetica" w:cs="Helvetica"/>
                <w:color w:val="000000"/>
                <w:sz w:val="18"/>
                <w:szCs w:val="18"/>
              </w:rPr>
              <w:t>, n = 100 (24%)</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741F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Only Symptoms completed</w:t>
            </w:r>
            <w:r>
              <w:rPr>
                <w:rFonts w:eastAsia="Helvetica" w:hAnsi="Helvetica" w:cs="Helvetica"/>
                <w:color w:val="000000"/>
                <w:sz w:val="18"/>
                <w:szCs w:val="18"/>
              </w:rPr>
              <w:t>, n = 186 (44%)</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95BAB"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Not Attempted</w:t>
            </w:r>
            <w:r>
              <w:rPr>
                <w:rFonts w:eastAsia="Helvetica" w:hAnsi="Helvetica" w:cs="Helvetica"/>
                <w:color w:val="000000"/>
                <w:sz w:val="18"/>
                <w:szCs w:val="18"/>
              </w:rPr>
              <w:t>, n = 118 (28%)</w:t>
            </w:r>
          </w:p>
        </w:tc>
      </w:tr>
      <w:tr w:rsidR="00EF1121" w14:paraId="7C9F78C8"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ACC42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Acute Flaccid Paralysis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EE180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(5.0%)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1DD61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(6.0%)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AACD5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 (6.5%)</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94DAE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(0.8%)</w:t>
            </w:r>
          </w:p>
        </w:tc>
      </w:tr>
      <w:tr w:rsidR="00EF1121" w14:paraId="7A9FFE7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E983D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Cholera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72F02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749C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A4D6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C6044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379EDC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F2558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rubella syndrome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C6FEE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2E5B0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671DD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F0BC7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(0.8%)</w:t>
            </w:r>
          </w:p>
        </w:tc>
      </w:tr>
      <w:tr w:rsidR="00EF1121" w14:paraId="25DC81E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A3C40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Diphtheria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A35CF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323A3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EFF23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2C4EE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4221136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6FA64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Enteric fever (typhoid or paratyphoid fever)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49B55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BEF7D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36CB2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1C34C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(5.1%)</w:t>
            </w:r>
          </w:p>
        </w:tc>
      </w:tr>
      <w:tr w:rsidR="00EF1121" w14:paraId="2AA1E82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F13FB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Food borne illness outbreak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2704C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EF65A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1C120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 (12%)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EBBC4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 (7.6%)</w:t>
            </w:r>
          </w:p>
        </w:tc>
      </w:tr>
      <w:tr w:rsidR="00EF1121" w14:paraId="42E2B802"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54C2D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Listeriosis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C295C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F9DD6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B04D2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8BBD1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10D62BB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BA009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Malaria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B56ED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 (50%)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6AA4C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29 (29%)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3FF1E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76 (41%)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30310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50 (42%)</w:t>
            </w:r>
          </w:p>
        </w:tc>
      </w:tr>
      <w:tr w:rsidR="00EF1121" w14:paraId="6088A4D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57F8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Measles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E80B3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03722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 (15%)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3F4A5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18 (9.7%)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12BA7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(3.4%)</w:t>
            </w:r>
          </w:p>
        </w:tc>
      </w:tr>
      <w:tr w:rsidR="00EF1121" w14:paraId="5F9E20F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29F4F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Meningococcal Disease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6E45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93DF1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E323C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DFF3F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 (7.6%)</w:t>
            </w:r>
          </w:p>
        </w:tc>
      </w:tr>
      <w:tr w:rsidR="00EF1121" w14:paraId="2A57CD3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62A6D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Pertussis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A6CE5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4773D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38 (38%)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34DA6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42 (23%)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AB513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34 (29%)</w:t>
            </w:r>
          </w:p>
        </w:tc>
      </w:tr>
      <w:tr w:rsidR="00EF1121" w14:paraId="37232E42"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68010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Rabies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FC722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B3879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4EA9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88B20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42364742" w14:textId="77777777">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BB260C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Rubella</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537CB7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884B8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6B033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0A8439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(3.4%)</w:t>
            </w:r>
          </w:p>
        </w:tc>
      </w:tr>
    </w:tbl>
    <w:p w14:paraId="3758806D" w14:textId="77777777" w:rsidR="00EF1121" w:rsidRDefault="00000000">
      <w:r>
        <w:br w:type="page"/>
      </w:r>
    </w:p>
    <w:p w14:paraId="59439A15" w14:textId="77777777" w:rsidR="00EF1121" w:rsidRDefault="00000000">
      <w:pPr>
        <w:pStyle w:val="Heading2"/>
      </w:pPr>
      <w:bookmarkStart w:id="12" w:name="X1571ad7fa13dd0b17d8fc0049b5f3e092110cb2"/>
      <w:bookmarkEnd w:id="10"/>
      <w:r>
        <w:lastRenderedPageBreak/>
        <w:t>Distribution of Category 1 NMCs by province and case definition</w:t>
      </w:r>
    </w:p>
    <w:p w14:paraId="34AB18F9" w14:textId="77777777" w:rsidR="00EF1121" w:rsidRDefault="00000000">
      <w:pPr>
        <w:pStyle w:val="TableCaption"/>
      </w:pPr>
      <w:bookmarkStart w:id="13" w:name="tab:unnamed-chunk-14"/>
      <w:bookmarkEnd w:id="13"/>
      <w:r>
        <w:t>Table 5: The number of notifications by notification type and the number of notifications that are confirmed by approriate centre.</w:t>
      </w:r>
    </w:p>
    <w:tbl>
      <w:tblPr>
        <w:tblW w:w="4950" w:type="pct"/>
        <w:jc w:val="center"/>
        <w:tblLook w:val="0420" w:firstRow="1" w:lastRow="0" w:firstColumn="0" w:lastColumn="0" w:noHBand="0" w:noVBand="1"/>
      </w:tblPr>
      <w:tblGrid>
        <w:gridCol w:w="4606"/>
        <w:gridCol w:w="501"/>
        <w:gridCol w:w="447"/>
        <w:gridCol w:w="519"/>
        <w:gridCol w:w="602"/>
        <w:gridCol w:w="500"/>
        <w:gridCol w:w="530"/>
        <w:gridCol w:w="541"/>
        <w:gridCol w:w="562"/>
        <w:gridCol w:w="569"/>
        <w:gridCol w:w="2519"/>
        <w:gridCol w:w="1647"/>
      </w:tblGrid>
      <w:tr w:rsidR="00DF0849" w14:paraId="2DF1F206" w14:textId="77777777" w:rsidTr="00B51BFA">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704B7"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pPr>
          </w:p>
        </w:tc>
        <w:tc>
          <w:tcPr>
            <w:tcW w:w="0" w:type="auto"/>
            <w:gridSpan w:val="9"/>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CCA33"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Provinces, n</w:t>
            </w:r>
          </w:p>
        </w:tc>
        <w:tc>
          <w:tcPr>
            <w:tcW w:w="0" w:type="auto"/>
            <w:gridSpan w:val="2"/>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6121F"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 xml:space="preserve">Case Definition, </w:t>
            </w:r>
            <w:proofErr w:type="gramStart"/>
            <w:r>
              <w:rPr>
                <w:rFonts w:eastAsia="Helvetica" w:hAnsi="Helvetica" w:cs="Helvetica"/>
                <w:b/>
                <w:color w:val="000000"/>
                <w:sz w:val="18"/>
                <w:szCs w:val="18"/>
              </w:rPr>
              <w:t>n(</w:t>
            </w:r>
            <w:proofErr w:type="gramEnd"/>
            <w:r>
              <w:rPr>
                <w:rFonts w:eastAsia="Helvetica" w:hAnsi="Helvetica" w:cs="Helvetica"/>
                <w:b/>
                <w:color w:val="000000"/>
                <w:sz w:val="18"/>
                <w:szCs w:val="18"/>
              </w:rPr>
              <w:t>%)</w:t>
            </w:r>
          </w:p>
        </w:tc>
      </w:tr>
      <w:tr w:rsidR="00DF0849" w14:paraId="6B918AD1" w14:textId="77777777" w:rsidTr="00B51BFA">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EA3F3"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Condition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47DF7"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EC</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13AA9"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FS</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41546"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GP</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0FAE4"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KZN</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5DC37"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LP</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DE639"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MP</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5F40C"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NC</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033F2"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NW</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59E9C"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WC</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29C63"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Suspected/Probable Case</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67A60"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Confirmed Case</w:t>
            </w:r>
            <w:r>
              <w:rPr>
                <w:rFonts w:eastAsia="Helvetica" w:hAnsi="Helvetica" w:cs="Helvetica"/>
                <w:color w:val="000000"/>
                <w:sz w:val="18"/>
                <w:szCs w:val="18"/>
                <w:vertAlign w:val="superscript"/>
              </w:rPr>
              <w:t>1</w:t>
            </w:r>
          </w:p>
        </w:tc>
      </w:tr>
      <w:tr w:rsidR="00DF0849" w14:paraId="6F5F3D06" w14:textId="77777777" w:rsidTr="00B51BFA">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875AE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Acute Flaccid Paralysis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B6336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DE726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687B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2081B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1C4ED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08C13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E9C07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8A3CE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4F13F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BD4DA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 (100%)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5913F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3132F67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4F0A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 xml:space="preserve">Cholera </w:t>
            </w:r>
            <w:r>
              <w:rPr>
                <w:rFonts w:eastAsia="Helvetica" w:hAnsi="Helvetica" w:cs="Helvetica"/>
                <w:color w:val="000000"/>
                <w:sz w:val="18"/>
                <w:szCs w:val="18"/>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81695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B4438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8F0F4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49AE9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BCDA7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15AC6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837C2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3DC4D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B6726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4FDFF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50CF7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3933826C"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2734D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rubella syndrome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21DEC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6BB87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901D4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BFC5D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4E1D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295C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C36A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291FC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B5B65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22052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2C43D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 (100%)</w:t>
            </w:r>
          </w:p>
        </w:tc>
      </w:tr>
      <w:tr w:rsidR="00DF0849" w14:paraId="67CD7B1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1F319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 xml:space="preserve">Crimean-Congo viral </w:t>
            </w:r>
            <w:proofErr w:type="spellStart"/>
            <w:r>
              <w:rPr>
                <w:rFonts w:eastAsia="Helvetica" w:hAnsi="Helvetica" w:cs="Helvetica"/>
                <w:color w:val="000000"/>
                <w:sz w:val="18"/>
                <w:szCs w:val="18"/>
              </w:rPr>
              <w:t>haemorrhagic</w:t>
            </w:r>
            <w:proofErr w:type="spellEnd"/>
            <w:r>
              <w:rPr>
                <w:rFonts w:eastAsia="Helvetica" w:hAnsi="Helvetica" w:cs="Helvetica"/>
                <w:color w:val="000000"/>
                <w:sz w:val="18"/>
                <w:szCs w:val="18"/>
              </w:rPr>
              <w:t xml:space="preserve"> fever (human)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BF3FB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FBDD4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6463B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52B13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661C6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5C211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6F335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11A0B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4E8B8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4BA31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BC9C8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(100%)</w:t>
            </w:r>
          </w:p>
        </w:tc>
      </w:tr>
      <w:tr w:rsidR="00DF0849" w14:paraId="463398F9"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F9482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Diphtheria *</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52C01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A0E33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3A78A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342C5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95AE8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54DE8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EA0CC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F9146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913CD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6DFA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4E558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(50%)</w:t>
            </w:r>
          </w:p>
        </w:tc>
      </w:tr>
      <w:tr w:rsidR="00DF0849" w14:paraId="731BD5DB"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80512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Enteric fever (typhoid or paratyphoid fever)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B58CE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B1D9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DAC8A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507B3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94EBC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267E4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C8024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0B268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D18AE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CB21A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 (27%)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7CE8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(73%)</w:t>
            </w:r>
          </w:p>
        </w:tc>
      </w:tr>
      <w:tr w:rsidR="00DF0849" w14:paraId="3CE2D52D"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E81C4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Food borne illness outbreak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91DB6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9A27A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EFFE7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02226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EE96F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2281D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DC9FC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EA5A6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9A0F3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473C0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161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D69A1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75918467"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18F13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proofErr w:type="spellStart"/>
            <w:r>
              <w:rPr>
                <w:rFonts w:eastAsia="Helvetica" w:hAnsi="Helvetica" w:cs="Helvetica"/>
                <w:color w:val="000000"/>
                <w:sz w:val="18"/>
                <w:szCs w:val="18"/>
              </w:rPr>
              <w:t>Haemolytic</w:t>
            </w:r>
            <w:proofErr w:type="spellEnd"/>
            <w:r>
              <w:rPr>
                <w:rFonts w:eastAsia="Helvetica" w:hAnsi="Helvetica" w:cs="Helvetica"/>
                <w:color w:val="000000"/>
                <w:sz w:val="18"/>
                <w:szCs w:val="18"/>
              </w:rPr>
              <w:t xml:space="preserve"> </w:t>
            </w:r>
            <w:proofErr w:type="spellStart"/>
            <w:r>
              <w:rPr>
                <w:rFonts w:eastAsia="Helvetica" w:hAnsi="Helvetica" w:cs="Helvetica"/>
                <w:color w:val="000000"/>
                <w:sz w:val="18"/>
                <w:szCs w:val="18"/>
              </w:rPr>
              <w:t>uraemic</w:t>
            </w:r>
            <w:proofErr w:type="spellEnd"/>
            <w:r>
              <w:rPr>
                <w:rFonts w:eastAsia="Helvetica" w:hAnsi="Helvetica" w:cs="Helvetica"/>
                <w:color w:val="000000"/>
                <w:sz w:val="18"/>
                <w:szCs w:val="18"/>
              </w:rPr>
              <w:t xml:space="preserve"> syndrome (HUS)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EBC5D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10CB2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4E640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60E1C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C2325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12CD9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64D47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38D50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51D6B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A734E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A43BA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322E8FA2"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1649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Listeriosis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CCFAC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BC884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C5785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A68C4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6158F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FB4C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E7327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873EC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80C37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8992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77777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(86%)</w:t>
            </w:r>
          </w:p>
        </w:tc>
      </w:tr>
      <w:tr w:rsidR="00DF0849" w14:paraId="58679C96"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49024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Malaria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EA5CF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FDB93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7371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C94B7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60F37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68F0E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EE8B2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5C80A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BF5BD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32CED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114 (23%)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35436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375 (77%)</w:t>
            </w:r>
          </w:p>
        </w:tc>
      </w:tr>
      <w:tr w:rsidR="00DF0849" w14:paraId="48513E9C"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EEFBF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Measles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45D60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3192F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DF798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450A0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9FB65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22682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020CA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AD8D1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0A6AF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B68E1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249 (85%)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76456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 (15%)</w:t>
            </w:r>
          </w:p>
        </w:tc>
      </w:tr>
      <w:tr w:rsidR="00DF0849" w14:paraId="5BC624AF"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DBB75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Meningococcal Disease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6830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ADF41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791D6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6A8BA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7B7FC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E1921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AD666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3F2BA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7B820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3771B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17 (77%)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12AEB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 (23%)</w:t>
            </w:r>
          </w:p>
        </w:tc>
      </w:tr>
      <w:tr w:rsidR="00DF0849" w14:paraId="666023FE"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7A24D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Pertussis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E5239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92B0D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9629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D0679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21D13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63CC8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AAFF1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08BBF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1EFB4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9B57E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121 (56%)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88ACF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96 (44%)</w:t>
            </w:r>
          </w:p>
        </w:tc>
      </w:tr>
      <w:tr w:rsidR="00DF0849" w14:paraId="195E1CAB" w14:textId="77777777" w:rsidTr="00B51B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51C42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Rabies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DFEAB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3B0A7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0DA81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F53B1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E7B91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39C5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8277C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3AA90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741D5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9615E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D3187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12AEC8D3" w14:textId="77777777" w:rsidTr="00B51BFA">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A7E8FA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Rubella</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459069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65E359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73B4D0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907F27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0ECC98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6FBBF8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2EF20B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AC7E12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116787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97</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618C75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34 (28%)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FA471C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87 (72%)</w:t>
            </w:r>
          </w:p>
        </w:tc>
      </w:tr>
      <w:tr w:rsidR="00DF0849" w14:paraId="7DA1B9FB" w14:textId="77777777" w:rsidTr="00B51BFA">
        <w:trPr>
          <w:jc w:val="center"/>
        </w:trPr>
        <w:tc>
          <w:tcPr>
            <w:tcW w:w="0" w:type="auto"/>
            <w:gridSpan w:val="12"/>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65B0A29" w14:textId="5F6A548D"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vertAlign w:val="superscript"/>
              </w:rPr>
              <w:t>1</w:t>
            </w:r>
            <w:proofErr w:type="gramStart"/>
            <w:r>
              <w:rPr>
                <w:rFonts w:eastAsia="Helvetica" w:hAnsi="Helvetica" w:cs="Helvetica"/>
                <w:color w:val="000000"/>
                <w:sz w:val="18"/>
                <w:szCs w:val="18"/>
              </w:rPr>
              <w:t>n(</w:t>
            </w:r>
            <w:proofErr w:type="gramEnd"/>
            <w:r>
              <w:rPr>
                <w:rFonts w:eastAsia="Helvetica" w:hAnsi="Helvetica" w:cs="Helvetica"/>
                <w:color w:val="000000"/>
                <w:sz w:val="18"/>
                <w:szCs w:val="18"/>
              </w:rPr>
              <w:t xml:space="preserve">%); </w:t>
            </w:r>
            <w:r>
              <w:rPr>
                <w:rFonts w:eastAsia="Helvetica" w:hAnsi="Helvetica" w:cs="Helvetica"/>
                <w:color w:val="000000"/>
                <w:sz w:val="18"/>
                <w:szCs w:val="18"/>
              </w:rPr>
              <w:br/>
              <w:t xml:space="preserve">* Toxin producing results not available on NMC; </w:t>
            </w:r>
            <w:r>
              <w:rPr>
                <w:rFonts w:eastAsia="Helvetica" w:hAnsi="Helvetica" w:cs="Helvetica"/>
                <w:color w:val="000000"/>
                <w:sz w:val="18"/>
                <w:szCs w:val="18"/>
              </w:rPr>
              <w:br/>
            </w:r>
            <w:r>
              <w:rPr>
                <w:rFonts w:eastAsia="Helvetica" w:hAnsi="Helvetica" w:cs="Helvetica"/>
                <w:color w:val="000000"/>
                <w:sz w:val="18"/>
                <w:szCs w:val="18"/>
              </w:rPr>
              <w:t>§</w:t>
            </w:r>
            <w:r>
              <w:rPr>
                <w:rFonts w:eastAsia="Helvetica" w:hAnsi="Helvetica" w:cs="Helvetica"/>
                <w:color w:val="000000"/>
                <w:sz w:val="18"/>
                <w:szCs w:val="18"/>
              </w:rPr>
              <w:t xml:space="preserve"> Serotype information not avail</w:t>
            </w:r>
            <w:r w:rsidR="00F81F22">
              <w:rPr>
                <w:rFonts w:eastAsia="Helvetica" w:hAnsi="Helvetica" w:cs="Helvetica"/>
                <w:color w:val="000000"/>
                <w:sz w:val="18"/>
                <w:szCs w:val="18"/>
              </w:rPr>
              <w:t>a</w:t>
            </w:r>
            <w:r>
              <w:rPr>
                <w:rFonts w:eastAsia="Helvetica" w:hAnsi="Helvetica" w:cs="Helvetica"/>
                <w:color w:val="000000"/>
                <w:sz w:val="18"/>
                <w:szCs w:val="18"/>
              </w:rPr>
              <w:t xml:space="preserve">ble on NMC; </w:t>
            </w:r>
            <w:r>
              <w:rPr>
                <w:rFonts w:eastAsia="Helvetica" w:hAnsi="Helvetica" w:cs="Helvetica"/>
                <w:color w:val="000000"/>
                <w:sz w:val="18"/>
                <w:szCs w:val="18"/>
              </w:rPr>
              <w:br/>
              <w:t>** Merged case represents a clinical and laboratory notification of the same person and was successfully linked and made into a single notification</w:t>
            </w:r>
          </w:p>
        </w:tc>
      </w:tr>
    </w:tbl>
    <w:p w14:paraId="78D9B3EE" w14:textId="234440EF" w:rsidR="00EF1121" w:rsidRDefault="004F758A" w:rsidP="004F758A">
      <w:pPr>
        <w:pStyle w:val="FirstParagraph"/>
      </w:pPr>
      <w:r>
        <w:t xml:space="preserve">The majority of category 1 notifications were for Malaria </w:t>
      </w:r>
      <w:proofErr w:type="gramStart"/>
      <w:r>
        <w:t>n(</w:t>
      </w:r>
      <w:proofErr w:type="gramEnd"/>
      <w:r>
        <w:t>%) 4</w:t>
      </w:r>
      <w:r w:rsidR="00DF0849">
        <w:t>89</w:t>
      </w:r>
      <w:r>
        <w:t xml:space="preserve"> (35%). The majority of Malaria cases were notified in LP </w:t>
      </w:r>
      <w:proofErr w:type="gramStart"/>
      <w:r>
        <w:t>n(</w:t>
      </w:r>
      <w:proofErr w:type="gramEnd"/>
      <w:r>
        <w:t>%) 242(49.4%).</w:t>
      </w:r>
    </w:p>
    <w:p w14:paraId="52D8B662" w14:textId="77777777" w:rsidR="00EF1121" w:rsidRDefault="00000000">
      <w:pPr>
        <w:pStyle w:val="Heading2"/>
      </w:pPr>
      <w:bookmarkStart w:id="14" w:name="Xbdf2e092c5c7de479b17dcc91c5f3d817728c4f"/>
      <w:bookmarkEnd w:id="12"/>
      <w:r>
        <w:lastRenderedPageBreak/>
        <w:t>Distribution of Category 2 NMCs by province and case definition</w:t>
      </w:r>
    </w:p>
    <w:p w14:paraId="5ED9B06E" w14:textId="77777777" w:rsidR="00EF1121" w:rsidRDefault="00000000">
      <w:pPr>
        <w:pStyle w:val="TableCaption"/>
      </w:pPr>
      <w:bookmarkStart w:id="15" w:name="tab:unnamed-chunk-15"/>
      <w:bookmarkEnd w:id="15"/>
      <w:r>
        <w:t>Table 6: Distribution of Category 2 NMC by Province</w:t>
      </w:r>
    </w:p>
    <w:tbl>
      <w:tblPr>
        <w:tblW w:w="5000" w:type="pct"/>
        <w:jc w:val="center"/>
        <w:tblLook w:val="0420" w:firstRow="1" w:lastRow="0" w:firstColumn="0" w:lastColumn="0" w:noHBand="0" w:noVBand="1"/>
      </w:tblPr>
      <w:tblGrid>
        <w:gridCol w:w="4787"/>
        <w:gridCol w:w="500"/>
        <w:gridCol w:w="500"/>
        <w:gridCol w:w="858"/>
        <w:gridCol w:w="746"/>
        <w:gridCol w:w="500"/>
        <w:gridCol w:w="500"/>
        <w:gridCol w:w="500"/>
        <w:gridCol w:w="500"/>
        <w:gridCol w:w="728"/>
        <w:gridCol w:w="2117"/>
        <w:gridCol w:w="1444"/>
      </w:tblGrid>
      <w:tr w:rsidR="00DF0849" w14:paraId="36EBCE8F" w14:textId="77777777" w:rsidTr="00AE3838">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41E8D"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pPr>
          </w:p>
        </w:tc>
        <w:tc>
          <w:tcPr>
            <w:tcW w:w="1904" w:type="pct"/>
            <w:gridSpan w:val="9"/>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5088D"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Provinces, n</w:t>
            </w:r>
          </w:p>
        </w:tc>
        <w:tc>
          <w:tcPr>
            <w:tcW w:w="1334" w:type="pct"/>
            <w:gridSpan w:val="2"/>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5D07B"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 xml:space="preserve">Case Definition, </w:t>
            </w:r>
            <w:proofErr w:type="gramStart"/>
            <w:r>
              <w:rPr>
                <w:rFonts w:eastAsia="Helvetica" w:hAnsi="Helvetica" w:cs="Helvetica"/>
                <w:b/>
                <w:color w:val="000000"/>
                <w:sz w:val="18"/>
                <w:szCs w:val="18"/>
              </w:rPr>
              <w:t>n(</w:t>
            </w:r>
            <w:proofErr w:type="gramEnd"/>
            <w:r>
              <w:rPr>
                <w:rFonts w:eastAsia="Helvetica" w:hAnsi="Helvetica" w:cs="Helvetica"/>
                <w:b/>
                <w:color w:val="000000"/>
                <w:sz w:val="18"/>
                <w:szCs w:val="18"/>
              </w:rPr>
              <w:t>%)</w:t>
            </w:r>
          </w:p>
        </w:tc>
      </w:tr>
      <w:tr w:rsidR="00DF0849" w14:paraId="60B9C4EF" w14:textId="77777777" w:rsidTr="00AE3838">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00F8E"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Condition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178A0"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EC</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D7B40"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FS</w:t>
            </w:r>
          </w:p>
        </w:tc>
        <w:tc>
          <w:tcPr>
            <w:tcW w:w="330"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E1A18"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GP</w:t>
            </w:r>
          </w:p>
        </w:tc>
        <w:tc>
          <w:tcPr>
            <w:tcW w:w="28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BEE5F"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KZN</w:t>
            </w:r>
          </w:p>
        </w:tc>
        <w:tc>
          <w:tcPr>
            <w:tcW w:w="8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E4A2AD"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LP</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1C3E7"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MP</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554E6"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NC</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6EF8C"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NW</w:t>
            </w:r>
          </w:p>
        </w:tc>
        <w:tc>
          <w:tcPr>
            <w:tcW w:w="282"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0883B"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WC</w:t>
            </w:r>
          </w:p>
        </w:tc>
        <w:tc>
          <w:tcPr>
            <w:tcW w:w="790"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70604"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Suspected/Probable Case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EA558" w14:textId="77777777" w:rsidR="00DF0849" w:rsidRDefault="00DF0849" w:rsidP="00B51BFA">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Confirmed Case</w:t>
            </w:r>
          </w:p>
        </w:tc>
      </w:tr>
      <w:tr w:rsidR="00DF0849" w14:paraId="6E5AFC12" w14:textId="77777777" w:rsidTr="00AE3838">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C4E5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Agricultural or stock remedy poisoning</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B2E50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0897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w:t>
            </w:r>
          </w:p>
        </w:tc>
        <w:tc>
          <w:tcPr>
            <w:tcW w:w="33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B6786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78</w:t>
            </w:r>
          </w:p>
        </w:tc>
        <w:tc>
          <w:tcPr>
            <w:tcW w:w="28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3540E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08077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3D58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F429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6BA3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28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5262A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79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EE9D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123 (100%)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7CF8A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2CB5ACB0"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8538C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Bilharzia (schistosomiasis)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DEDB1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88DEA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33EF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31</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23FC8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475</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9A81C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70BF5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69AB4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DD670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C5C73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785CB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39 (3.8%)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8B0E6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992 (96%)</w:t>
            </w:r>
          </w:p>
        </w:tc>
      </w:tr>
      <w:tr w:rsidR="00DF0849" w14:paraId="1638FEC5"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AEB93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Brucellosis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049F0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55381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55A9D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607A4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027A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3ED39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4732A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6FD7F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CCC4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F5F72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170C2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45EF3FE5"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92888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syphilis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8DAA3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C8F3A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37189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B64B8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7CD74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5CB3F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6FC78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46F2A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D863D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19</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79E65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 (42%)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87B31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32 (58%)</w:t>
            </w:r>
          </w:p>
        </w:tc>
      </w:tr>
      <w:tr w:rsidR="00DF0849" w14:paraId="2C73F096"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72FE4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proofErr w:type="spellStart"/>
            <w:r>
              <w:rPr>
                <w:rFonts w:eastAsia="Helvetica" w:hAnsi="Helvetica" w:cs="Helvetica"/>
                <w:color w:val="000000"/>
                <w:sz w:val="18"/>
                <w:szCs w:val="18"/>
              </w:rPr>
              <w:t>Haemophilus</w:t>
            </w:r>
            <w:proofErr w:type="spellEnd"/>
            <w:r>
              <w:rPr>
                <w:rFonts w:eastAsia="Helvetica" w:hAnsi="Helvetica" w:cs="Helvetica"/>
                <w:color w:val="000000"/>
                <w:sz w:val="18"/>
                <w:szCs w:val="18"/>
              </w:rPr>
              <w:t xml:space="preserve"> influenzae type 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9275B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B9C1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60F72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F74FB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B071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0ABEE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9EEA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551B2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FFF15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D9D98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16 (80%)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7B5B8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(20%)</w:t>
            </w:r>
          </w:p>
        </w:tc>
      </w:tr>
      <w:tr w:rsidR="00DF0849" w14:paraId="07BF36C3"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E1857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C9A09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23690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19</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81CC2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97</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82938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103</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621F7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5F1E3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17A82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9ED0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26123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125</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965D9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74 (16%)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9142D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385 (84%)</w:t>
            </w:r>
          </w:p>
        </w:tc>
      </w:tr>
      <w:tr w:rsidR="00DF0849" w14:paraId="4CFD1668"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A490D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552BD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7FEFF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2578D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73</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9902E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705</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123AD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68A79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F2605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67AA1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82</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F4700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7A56D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142 (13%)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626D0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957 (87%)</w:t>
            </w:r>
          </w:p>
        </w:tc>
      </w:tr>
      <w:tr w:rsidR="00DF0849" w14:paraId="551EF7D4"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51797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AD6A0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C85C7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8F17B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8EB2F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74402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E647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F0D2E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D74E5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E6485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70E89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13 (93%)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971C2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(7.1%)</w:t>
            </w:r>
          </w:p>
        </w:tc>
      </w:tr>
      <w:tr w:rsidR="00DF0849" w14:paraId="3CB47BB1"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1651B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Legionellosis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48A65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21B2B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2EEC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1F144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597BF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F4EDC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380C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7F373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752CF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9E0B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F553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(33%)</w:t>
            </w:r>
          </w:p>
        </w:tc>
      </w:tr>
      <w:tr w:rsidR="00DF0849" w14:paraId="5B4EA652"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F9FA0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 xml:space="preserve">Maternal death (pregnancy, </w:t>
            </w:r>
            <w:proofErr w:type="gramStart"/>
            <w:r>
              <w:rPr>
                <w:rFonts w:eastAsia="Helvetica" w:hAnsi="Helvetica" w:cs="Helvetica"/>
                <w:color w:val="000000"/>
                <w:sz w:val="18"/>
                <w:szCs w:val="18"/>
              </w:rPr>
              <w:t>childbirth</w:t>
            </w:r>
            <w:proofErr w:type="gramEnd"/>
            <w:r>
              <w:rPr>
                <w:rFonts w:eastAsia="Helvetica" w:hAnsi="Helvetica" w:cs="Helvetica"/>
                <w:color w:val="000000"/>
                <w:sz w:val="18"/>
                <w:szCs w:val="18"/>
              </w:rPr>
              <w:t xml:space="preserve"> and puerperium)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F90E3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A35EF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7F4E3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E7C8E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131FC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B6272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8B63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426A6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F84A1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3ED39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8C23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DF0849" w14:paraId="5C96EDAB"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F6D6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Soil transmitted helminths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26066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D0778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87702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E5914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0260B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44970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63E0B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B14E7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1BC74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B7DFE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159236" w14:textId="77777777" w:rsidR="00DF0849" w:rsidRDefault="00DF0849" w:rsidP="00AE3838">
            <w:pPr>
              <w:pBdr>
                <w:top w:val="none" w:sz="0" w:space="0" w:color="000000"/>
                <w:left w:val="none" w:sz="0" w:space="0" w:color="000000"/>
                <w:bottom w:val="none" w:sz="0" w:space="0" w:color="000000"/>
                <w:right w:val="none" w:sz="0" w:space="0" w:color="000000"/>
              </w:pBdr>
              <w:spacing w:before="100" w:after="100"/>
              <w:ind w:left="100" w:right="100" w:firstLine="99"/>
              <w:jc w:val="center"/>
            </w:pPr>
            <w:r>
              <w:rPr>
                <w:rFonts w:eastAsia="Helvetica" w:hAnsi="Helvetica" w:cs="Helvetica"/>
                <w:color w:val="000000"/>
                <w:sz w:val="18"/>
                <w:szCs w:val="18"/>
              </w:rPr>
              <w:t>0 (0%)</w:t>
            </w:r>
          </w:p>
        </w:tc>
      </w:tr>
      <w:tr w:rsidR="00DF0849" w14:paraId="748FD427"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28A0F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 extensively drug -resistant (XDR -TB)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B440D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28E79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48E05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D2959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26A1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6E090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5DC66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9174B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36C69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6DD80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05C629" w14:textId="76DBFF3B" w:rsidR="00DF0849" w:rsidRDefault="00AE3838"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w:t>
            </w:r>
          </w:p>
        </w:tc>
      </w:tr>
      <w:tr w:rsidR="00DF0849" w14:paraId="350322EE"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CAE463"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 multidrug- resistant (MDR -TB)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A88C7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22B88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0D1AE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55</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CF1625"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9162A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8393D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CC594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89EA6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F1998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BA769"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217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72390B" w14:textId="2B7E991C" w:rsidR="00DF0849" w:rsidRDefault="00AE3838"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w:t>
            </w:r>
          </w:p>
        </w:tc>
      </w:tr>
      <w:tr w:rsidR="00DF0849" w14:paraId="27CA80B6" w14:textId="77777777" w:rsidTr="00AE3838">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5FC65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proofErr w:type="spellStart"/>
            <w:proofErr w:type="gramStart"/>
            <w:r>
              <w:rPr>
                <w:rFonts w:eastAsia="Helvetica" w:hAnsi="Helvetica" w:cs="Helvetica"/>
                <w:color w:val="000000"/>
                <w:sz w:val="18"/>
                <w:szCs w:val="18"/>
              </w:rPr>
              <w:t>Tuberculosis:extra</w:t>
            </w:r>
            <w:proofErr w:type="gramEnd"/>
            <w:r>
              <w:rPr>
                <w:rFonts w:eastAsia="Helvetica" w:hAnsi="Helvetica" w:cs="Helvetica"/>
                <w:color w:val="000000"/>
                <w:sz w:val="18"/>
                <w:szCs w:val="18"/>
              </w:rPr>
              <w:t>-pulmonary</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482B0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A79351"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73</w:t>
            </w:r>
          </w:p>
        </w:tc>
        <w:tc>
          <w:tcPr>
            <w:tcW w:w="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B7A4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645</w:t>
            </w:r>
          </w:p>
        </w:tc>
        <w:tc>
          <w:tcPr>
            <w:tcW w:w="2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1F705A"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228</w:t>
            </w:r>
          </w:p>
        </w:tc>
        <w:tc>
          <w:tcPr>
            <w:tcW w:w="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26161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2B6C9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F2BCA6"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3BD83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82</w:t>
            </w:r>
          </w:p>
        </w:tc>
        <w:tc>
          <w:tcPr>
            <w:tcW w:w="2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E27A6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238</w:t>
            </w:r>
          </w:p>
        </w:tc>
        <w:tc>
          <w:tcPr>
            <w:tcW w:w="7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7E21F2"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1 548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E93606" w14:textId="38EC6998" w:rsidR="00DF0849" w:rsidRDefault="00AE3838"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w:t>
            </w:r>
          </w:p>
        </w:tc>
      </w:tr>
      <w:tr w:rsidR="00DF0849" w14:paraId="7CB5765C" w14:textId="77777777" w:rsidTr="00AE3838">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EB89B9D"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300" w:right="100"/>
            </w:pPr>
            <w:proofErr w:type="spellStart"/>
            <w:proofErr w:type="gramStart"/>
            <w:r>
              <w:rPr>
                <w:rFonts w:eastAsia="Helvetica" w:hAnsi="Helvetica" w:cs="Helvetica"/>
                <w:color w:val="000000"/>
                <w:sz w:val="18"/>
                <w:szCs w:val="18"/>
              </w:rPr>
              <w:t>Tuberculosis:pulmonary</w:t>
            </w:r>
            <w:proofErr w:type="spellEnd"/>
            <w:proofErr w:type="gramEnd"/>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B36932E"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860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7B90794"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422</w:t>
            </w:r>
          </w:p>
        </w:tc>
        <w:tc>
          <w:tcPr>
            <w:tcW w:w="330"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06497A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1 908</w:t>
            </w:r>
          </w:p>
        </w:tc>
        <w:tc>
          <w:tcPr>
            <w:tcW w:w="289"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E19AD50"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1 131</w:t>
            </w:r>
          </w:p>
        </w:tc>
        <w:tc>
          <w:tcPr>
            <w:tcW w:w="89"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A1ACE3F"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421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1672E3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E64B9F8"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446</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93F053B"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394</w:t>
            </w:r>
          </w:p>
        </w:tc>
        <w:tc>
          <w:tcPr>
            <w:tcW w:w="282"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1B893BC"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1 346</w:t>
            </w:r>
          </w:p>
        </w:tc>
        <w:tc>
          <w:tcPr>
            <w:tcW w:w="790"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1084AF7" w14:textId="77777777" w:rsidR="00DF0849" w:rsidRDefault="00DF0849"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7 078 (100%)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630E45B" w14:textId="53773A35" w:rsidR="00DF0849" w:rsidRDefault="00AE3838" w:rsidP="00B51BFA">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w:t>
            </w:r>
          </w:p>
        </w:tc>
      </w:tr>
    </w:tbl>
    <w:p w14:paraId="3AD6B3FA" w14:textId="0976045F" w:rsidR="007B2477" w:rsidRPr="007B2477" w:rsidRDefault="007B2477" w:rsidP="007B2477">
      <w:pPr>
        <w:pStyle w:val="BodyText"/>
        <w:rPr>
          <w:sz w:val="14"/>
          <w:szCs w:val="14"/>
        </w:rPr>
      </w:pPr>
      <w:r w:rsidRPr="007B2477">
        <w:rPr>
          <w:sz w:val="14"/>
          <w:szCs w:val="14"/>
        </w:rPr>
        <w:t xml:space="preserve">* TB module is under development to align with laboratory confirmed TB cases. </w:t>
      </w:r>
    </w:p>
    <w:p w14:paraId="23A48864" w14:textId="5E13DB73" w:rsidR="00EF1121" w:rsidRDefault="00000000">
      <w:pPr>
        <w:pStyle w:val="BodyText"/>
      </w:pPr>
      <w:r>
        <w:t xml:space="preserve">The majority of category 2 notifications were for </w:t>
      </w:r>
      <w:proofErr w:type="gramStart"/>
      <w:r>
        <w:t>Tuberculosis:pulmonary</w:t>
      </w:r>
      <w:proofErr w:type="gramEnd"/>
      <w:r>
        <w:t xml:space="preserve"> n(%) 7 078 (61%). The majority of Tuberculosis:pulmonary cases were notified in GP n(%) 1908(27%).</w:t>
      </w:r>
    </w:p>
    <w:p w14:paraId="7A1121B1" w14:textId="77777777" w:rsidR="00EF1121" w:rsidRDefault="00000000">
      <w:r>
        <w:br w:type="page"/>
      </w:r>
    </w:p>
    <w:p w14:paraId="7E467A6F" w14:textId="77777777" w:rsidR="00EF1121" w:rsidRDefault="00000000">
      <w:pPr>
        <w:pStyle w:val="Heading2"/>
      </w:pPr>
      <w:bookmarkStart w:id="16" w:name="the-average-active-users-on-the-nmc-app"/>
      <w:bookmarkEnd w:id="14"/>
      <w:r>
        <w:lastRenderedPageBreak/>
        <w:t>The average active users on the NMC App</w:t>
      </w:r>
    </w:p>
    <w:p w14:paraId="0D44BD35" w14:textId="4E611A0C" w:rsidR="00EF1121" w:rsidRDefault="00BA38F4">
      <w:r>
        <w:rPr>
          <w:noProof/>
        </w:rPr>
        <w:drawing>
          <wp:inline distT="0" distB="0" distL="0" distR="0" wp14:anchorId="7E310A68" wp14:editId="3A6945FF">
            <wp:extent cx="8361303" cy="3996831"/>
            <wp:effectExtent l="0" t="0" r="8255" b="16510"/>
            <wp:docPr id="150787960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br w:type="page"/>
      </w:r>
    </w:p>
    <w:p w14:paraId="211B6050" w14:textId="77777777" w:rsidR="00EF1121" w:rsidRDefault="00000000">
      <w:pPr>
        <w:pStyle w:val="Heading2"/>
      </w:pPr>
      <w:bookmarkStart w:id="17" w:name="data-quality"/>
      <w:bookmarkEnd w:id="16"/>
      <w:r>
        <w:lastRenderedPageBreak/>
        <w:t>Data quality</w:t>
      </w:r>
    </w:p>
    <w:p w14:paraId="324AB089" w14:textId="77777777" w:rsidR="00EF1121" w:rsidRDefault="00000000">
      <w:pPr>
        <w:pStyle w:val="FirstParagraph"/>
      </w:pPr>
      <w:r>
        <w:rPr>
          <w:b/>
          <w:bCs/>
        </w:rPr>
        <w:t>Completeness</w:t>
      </w:r>
      <w:r>
        <w:t xml:space="preserve"> refers to the proportion of complete data entries per variable in the dataset among clinical and merged notifications. In October 2023, there was an increase in completeness of date of diagnosis and patient folder number, while demographic details and patient vital status remain unchanged captured compared to x 2023.</w:t>
      </w:r>
    </w:p>
    <w:p w14:paraId="76633894" w14:textId="77777777" w:rsidR="00EF1121" w:rsidRDefault="00000000">
      <w:pPr>
        <w:pStyle w:val="BodyText"/>
      </w:pPr>
      <w:r>
        <w:rPr>
          <w:b/>
          <w:bCs/>
        </w:rPr>
        <w:t>Timeliness</w:t>
      </w:r>
      <w:r>
        <w:t xml:space="preserve"> is measured by the number of days from the time of diagnosis of the NMC to the time of notification. Overall, it took a median (IQR) of 0.0 (0.0, 1.0) days to report category 1 NMCs.</w:t>
      </w:r>
    </w:p>
    <w:p w14:paraId="577E8A8A" w14:textId="77777777" w:rsidR="00EF1121" w:rsidRDefault="00000000">
      <w:pPr>
        <w:pStyle w:val="TableCaption"/>
      </w:pPr>
      <w:bookmarkStart w:id="18" w:name="tab:unnamed-chunk-16"/>
      <w:bookmarkEnd w:id="18"/>
      <w:r>
        <w:t>Table 7: NMC data completeness of clinical notifications on both reporting platforms</w:t>
      </w:r>
    </w:p>
    <w:tbl>
      <w:tblPr>
        <w:tblW w:w="4950" w:type="pct"/>
        <w:jc w:val="center"/>
        <w:tblLook w:val="0420" w:firstRow="1" w:lastRow="0" w:firstColumn="0" w:lastColumn="0" w:noHBand="0" w:noVBand="1"/>
      </w:tblPr>
      <w:tblGrid>
        <w:gridCol w:w="4961"/>
        <w:gridCol w:w="3543"/>
        <w:gridCol w:w="5039"/>
      </w:tblGrid>
      <w:tr w:rsidR="00EF1121" w14:paraId="05D9C7AE"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5A4E1" w14:textId="77777777" w:rsidR="00EF1121" w:rsidRDefault="00EF1121">
            <w:pPr>
              <w:pBdr>
                <w:top w:val="none" w:sz="0" w:space="0" w:color="000000"/>
                <w:left w:val="none" w:sz="0" w:space="0" w:color="000000"/>
                <w:bottom w:val="none" w:sz="0" w:space="0" w:color="000000"/>
                <w:right w:val="none" w:sz="0" w:space="0" w:color="000000"/>
              </w:pBdr>
              <w:spacing w:before="40" w:after="40"/>
              <w:ind w:left="100" w:right="100"/>
            </w:pP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30FE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App</w:t>
            </w:r>
            <w:r>
              <w:rPr>
                <w:rFonts w:eastAsia="Helvetica" w:hAnsi="Helvetica" w:cs="Helvetica"/>
                <w:color w:val="000000"/>
                <w:sz w:val="18"/>
                <w:szCs w:val="18"/>
              </w:rPr>
              <w:t>, N = 8 820</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6B5D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Paper-based</w:t>
            </w:r>
            <w:r>
              <w:rPr>
                <w:rFonts w:eastAsia="Helvetica" w:hAnsi="Helvetica" w:cs="Helvetica"/>
                <w:color w:val="000000"/>
                <w:sz w:val="18"/>
                <w:szCs w:val="18"/>
              </w:rPr>
              <w:t>, N = 258</w:t>
            </w:r>
          </w:p>
        </w:tc>
      </w:tr>
      <w:tr w:rsidR="00EF1121" w14:paraId="1F010710"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CE0CE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Folder Number</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D166E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7 082 (80%)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64E71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197 (76%)</w:t>
            </w:r>
          </w:p>
        </w:tc>
      </w:tr>
      <w:tr w:rsidR="00EF1121" w14:paraId="6C61B5C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78B7C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First Name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2EDAE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8 820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91B88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258 (100%)</w:t>
            </w:r>
          </w:p>
        </w:tc>
      </w:tr>
      <w:tr w:rsidR="00EF1121" w14:paraId="1387FF6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87080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Surname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4CD1A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8 820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1317E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258 (100%)</w:t>
            </w:r>
          </w:p>
        </w:tc>
      </w:tr>
      <w:tr w:rsidR="00EF1121" w14:paraId="7EAF292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5D3AF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Symptom Onset Date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AC63A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8 735 (99%)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771D6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258 (100%)</w:t>
            </w:r>
          </w:p>
        </w:tc>
      </w:tr>
      <w:tr w:rsidR="00EF1121" w14:paraId="62F326A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CA438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Date of Diagnosis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8DC98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8 820 (100%)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79AD1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258 (100%)</w:t>
            </w:r>
          </w:p>
        </w:tc>
      </w:tr>
      <w:tr w:rsidR="00EF1121" w14:paraId="3E52C297" w14:textId="77777777">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51E848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b/>
                <w:color w:val="000000"/>
                <w:sz w:val="18"/>
                <w:szCs w:val="18"/>
              </w:rPr>
              <w:t>Outcome</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ECFCB5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8 820 (100%)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4B7E82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258 (100%)</w:t>
            </w:r>
          </w:p>
        </w:tc>
      </w:tr>
    </w:tbl>
    <w:p w14:paraId="07FFF632" w14:textId="77777777" w:rsidR="00EF1121" w:rsidRDefault="00000000">
      <w:r>
        <w:br w:type="page"/>
      </w:r>
    </w:p>
    <w:p w14:paraId="01949FC1" w14:textId="77777777" w:rsidR="00EF1121" w:rsidRDefault="00000000">
      <w:pPr>
        <w:pStyle w:val="Heading3"/>
      </w:pPr>
      <w:bookmarkStart w:id="19" w:name="id-number-completeness"/>
      <w:r>
        <w:lastRenderedPageBreak/>
        <w:t>ID number completeness</w:t>
      </w:r>
    </w:p>
    <w:p w14:paraId="3DC15C72" w14:textId="77777777" w:rsidR="00EF1121" w:rsidRDefault="00000000">
      <w:pPr>
        <w:pStyle w:val="TableCaption"/>
      </w:pPr>
      <w:bookmarkStart w:id="20" w:name="tab:tbl-qualID"/>
      <w:bookmarkEnd w:id="20"/>
      <w:r>
        <w:t>Table 8: Length of ID numbers inputted on NMC system</w:t>
      </w:r>
    </w:p>
    <w:tbl>
      <w:tblPr>
        <w:tblW w:w="4950" w:type="pct"/>
        <w:jc w:val="center"/>
        <w:tblLook w:val="0420" w:firstRow="1" w:lastRow="0" w:firstColumn="0" w:lastColumn="0" w:noHBand="0" w:noVBand="1"/>
      </w:tblPr>
      <w:tblGrid>
        <w:gridCol w:w="2277"/>
        <w:gridCol w:w="2159"/>
        <w:gridCol w:w="3284"/>
        <w:gridCol w:w="2502"/>
        <w:gridCol w:w="1810"/>
        <w:gridCol w:w="1511"/>
      </w:tblGrid>
      <w:tr w:rsidR="00EF1121" w14:paraId="4CD275C8"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45722"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Length of ID number</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F90D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Android</w:t>
            </w:r>
            <w:r>
              <w:rPr>
                <w:rFonts w:eastAsia="Helvetica" w:hAnsi="Helvetica" w:cs="Helvetica"/>
                <w:color w:val="000000"/>
                <w:sz w:val="18"/>
                <w:szCs w:val="18"/>
              </w:rPr>
              <w:t>, N = 3 036</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53C22"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Microstrategy/SDW</w:t>
            </w:r>
            <w:r>
              <w:rPr>
                <w:rFonts w:eastAsia="Helvetica" w:hAnsi="Helvetica" w:cs="Helvetica"/>
                <w:color w:val="000000"/>
                <w:sz w:val="18"/>
                <w:szCs w:val="18"/>
              </w:rPr>
              <w:t>, N = 3 026</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0D9F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Paper-based</w:t>
            </w:r>
            <w:r>
              <w:rPr>
                <w:rFonts w:eastAsia="Helvetica" w:hAnsi="Helvetica" w:cs="Helvetica"/>
                <w:color w:val="000000"/>
                <w:sz w:val="18"/>
                <w:szCs w:val="18"/>
              </w:rPr>
              <w:t>, N = 258</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79F7E"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Web</w:t>
            </w:r>
            <w:r>
              <w:rPr>
                <w:rFonts w:eastAsia="Helvetica" w:hAnsi="Helvetica" w:cs="Helvetica"/>
                <w:color w:val="000000"/>
                <w:sz w:val="18"/>
                <w:szCs w:val="18"/>
              </w:rPr>
              <w:t>, N = 5 215</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E83C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iOS</w:t>
            </w:r>
            <w:r>
              <w:rPr>
                <w:rFonts w:eastAsia="Helvetica" w:hAnsi="Helvetica" w:cs="Helvetica"/>
                <w:color w:val="000000"/>
                <w:sz w:val="18"/>
                <w:szCs w:val="18"/>
              </w:rPr>
              <w:t>, N = 569</w:t>
            </w:r>
            <w:r>
              <w:rPr>
                <w:rFonts w:eastAsia="Helvetica" w:hAnsi="Helvetica" w:cs="Helvetica"/>
                <w:color w:val="000000"/>
                <w:sz w:val="18"/>
                <w:szCs w:val="18"/>
                <w:vertAlign w:val="superscript"/>
              </w:rPr>
              <w:t>1</w:t>
            </w:r>
          </w:p>
        </w:tc>
      </w:tr>
      <w:tr w:rsidR="00EF1121" w14:paraId="424BCD37"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FD699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C8FAA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1 135 (37%)</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44E45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2 918 (96%)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F880E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144 (56%)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75C03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1 623 (31%)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5C9EF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246 (43%)</w:t>
            </w:r>
          </w:p>
        </w:tc>
      </w:tr>
      <w:tr w:rsidR="00EF1121" w14:paraId="5BB450D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0C7C2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033DA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61221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65677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3FAA1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6CBDA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(0.2%)</w:t>
            </w:r>
          </w:p>
        </w:tc>
      </w:tr>
      <w:tr w:rsidR="00EF1121" w14:paraId="79F8A95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8EF3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29A87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310BB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 (0.4%)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9C2D1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79FC7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490 (9.4%)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D6E41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55 (9.7%)</w:t>
            </w:r>
          </w:p>
        </w:tc>
      </w:tr>
      <w:tr w:rsidR="00EF1121" w14:paraId="5031EF7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85FCF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45B78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9F0AF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756E4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14F9A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BB582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23CE94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BC888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CDF31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F3899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F2C76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D8172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94 (1.8%)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FC119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(0.4%)</w:t>
            </w:r>
          </w:p>
        </w:tc>
      </w:tr>
      <w:tr w:rsidR="00EF1121" w14:paraId="1DC5175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CE7E5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D1D43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C7A23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A7F1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D65E7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21 (0.4%)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F34C5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(0.7%)</w:t>
            </w:r>
          </w:p>
        </w:tc>
      </w:tr>
      <w:tr w:rsidR="00EF1121" w14:paraId="34AA833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1CA41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CFF77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56A79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69222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4F1BA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107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E4194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(0.7%)</w:t>
            </w:r>
          </w:p>
        </w:tc>
      </w:tr>
      <w:tr w:rsidR="00EF1121" w14:paraId="207016F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77FD2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38129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E1EF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67E51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CC961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A60DE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(0.2%)</w:t>
            </w:r>
          </w:p>
        </w:tc>
      </w:tr>
      <w:tr w:rsidR="00EF1121" w14:paraId="33346E1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2E80B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0CA4A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16638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F5145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1A802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 (0.7%)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B378F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1D072B9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6FC0A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3E497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1 897 (62%)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94434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93 (3.1%)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E4C7D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114 (44%)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D44C6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2 836 (54%)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84644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256 (45%)</w:t>
            </w:r>
          </w:p>
        </w:tc>
      </w:tr>
      <w:tr w:rsidR="00EF1121" w14:paraId="663BE344" w14:textId="77777777">
        <w:trPr>
          <w:jc w:val="center"/>
        </w:trPr>
        <w:tc>
          <w:tcPr>
            <w:tcW w:w="0" w:type="auto"/>
            <w:gridSpan w:val="6"/>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4031B5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vertAlign w:val="superscript"/>
              </w:rPr>
              <w:t>1</w:t>
            </w:r>
            <w:r>
              <w:rPr>
                <w:rFonts w:eastAsia="Helvetica" w:hAnsi="Helvetica" w:cs="Helvetica"/>
                <w:color w:val="000000"/>
                <w:sz w:val="18"/>
                <w:szCs w:val="18"/>
              </w:rPr>
              <w:t>n (%)</w:t>
            </w:r>
          </w:p>
        </w:tc>
      </w:tr>
    </w:tbl>
    <w:p w14:paraId="228A96AD" w14:textId="77777777" w:rsidR="00EF1121" w:rsidRDefault="00000000">
      <w:r>
        <w:br w:type="page"/>
      </w:r>
    </w:p>
    <w:p w14:paraId="39C31EB3" w14:textId="77777777" w:rsidR="00EF1121" w:rsidRDefault="00000000">
      <w:pPr>
        <w:pStyle w:val="Heading3"/>
      </w:pPr>
      <w:bookmarkStart w:id="21" w:name="symptomatology"/>
      <w:bookmarkEnd w:id="19"/>
      <w:r>
        <w:lastRenderedPageBreak/>
        <w:t>Symptomatology</w:t>
      </w:r>
    </w:p>
    <w:p w14:paraId="0D7D872E" w14:textId="77777777" w:rsidR="00EF1121" w:rsidRDefault="00000000">
      <w:pPr>
        <w:pStyle w:val="TableCaption"/>
      </w:pPr>
      <w:bookmarkStart w:id="22" w:name="tab:tbl-qualsymps"/>
      <w:bookmarkEnd w:id="22"/>
      <w:r>
        <w:t>Table 9: Symptoms of patients clinically notified and merged with lab notifications to the NMC</w:t>
      </w:r>
    </w:p>
    <w:tbl>
      <w:tblPr>
        <w:tblW w:w="4950" w:type="pct"/>
        <w:jc w:val="center"/>
        <w:tblLook w:val="0420" w:firstRow="1" w:lastRow="0" w:firstColumn="0" w:lastColumn="0" w:noHBand="0" w:noVBand="1"/>
      </w:tblPr>
      <w:tblGrid>
        <w:gridCol w:w="3106"/>
        <w:gridCol w:w="2395"/>
        <w:gridCol w:w="2658"/>
        <w:gridCol w:w="2859"/>
        <w:gridCol w:w="2525"/>
      </w:tblGrid>
      <w:tr w:rsidR="00EF1121" w14:paraId="391BA7D5"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7B47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Characteristic</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43C3C"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Overall</w:t>
            </w:r>
            <w:r>
              <w:rPr>
                <w:rFonts w:eastAsia="Helvetica" w:hAnsi="Helvetica" w:cs="Helvetica"/>
                <w:color w:val="000000"/>
                <w:sz w:val="18"/>
                <w:szCs w:val="18"/>
              </w:rPr>
              <w:t>, N = 9 447</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7AA4E"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Category 1</w:t>
            </w:r>
            <w:r>
              <w:rPr>
                <w:rFonts w:eastAsia="Helvetica" w:hAnsi="Helvetica" w:cs="Helvetica"/>
                <w:color w:val="000000"/>
                <w:sz w:val="18"/>
                <w:szCs w:val="18"/>
              </w:rPr>
              <w:t>, N = 956</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D4A61"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Category 2</w:t>
            </w:r>
            <w:r>
              <w:rPr>
                <w:rFonts w:eastAsia="Helvetica" w:hAnsi="Helvetica" w:cs="Helvetica"/>
                <w:color w:val="000000"/>
                <w:sz w:val="18"/>
                <w:szCs w:val="18"/>
              </w:rPr>
              <w:t>, N = 8 479</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B2F2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Category 3</w:t>
            </w:r>
            <w:r>
              <w:rPr>
                <w:rFonts w:eastAsia="Helvetica" w:hAnsi="Helvetica" w:cs="Helvetica"/>
                <w:color w:val="000000"/>
                <w:sz w:val="18"/>
                <w:szCs w:val="18"/>
              </w:rPr>
              <w:t>, N = 12</w:t>
            </w:r>
            <w:r>
              <w:rPr>
                <w:rFonts w:eastAsia="Helvetica" w:hAnsi="Helvetica" w:cs="Helvetica"/>
                <w:color w:val="000000"/>
                <w:sz w:val="18"/>
                <w:szCs w:val="18"/>
                <w:vertAlign w:val="superscript"/>
              </w:rPr>
              <w:t>1</w:t>
            </w:r>
          </w:p>
        </w:tc>
      </w:tr>
      <w:tr w:rsidR="00EF1121" w14:paraId="0B0D9C6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6C061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Cough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33054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4 671 (49%)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5DB1C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144 (15%)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7B1D3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4 527 (53%)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1C26E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284A2AB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34DF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No Symptoms Reported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74B5C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2 847 (30%)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6F52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400 (42%)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C7D6A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2 435 (29%)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82217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 (100%)</w:t>
            </w:r>
          </w:p>
        </w:tc>
      </w:tr>
      <w:tr w:rsidR="00EF1121" w14:paraId="76C52E50"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569F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Loss of weight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31E19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2 732 (29%)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A853D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A648B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2 732 (32%)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4038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8F1409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8EB7C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Loss of appetite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2C81B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1 943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78329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34 (3.6%)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3911F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1 909 (23%)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73CFA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5AF4070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477FF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Night Sweats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475B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1 729 (18%)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25425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6F52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1 729 (20%)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B0A69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0903050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BEBAC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Fever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18F8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1 591 (17%)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BC49A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250 (26%)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63093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1 341 (16%)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65C35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4EA9A770"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E552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Chest pains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8EB11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1 428 (15%)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2C74E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8EA36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1 428 (17%)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208C0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3E38A5E2"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894FE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Shortness of breath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CC019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683 (7.2%)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65535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3C3DC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683 (8.1%)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1BB69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0628ACD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409F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Weakness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36A76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619 (6.6%)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C06AC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CCA6F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619 (7.3%)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2E095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46301C86"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7A847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Flu like symptoms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38F8C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571 (6.0%)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AD274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17 (1.8%)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C812E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554 (6.5%)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8AE2E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8D0E21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C321A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Muscle weakness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EE45B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569 (6.0%)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F4DBE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A56B7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549 (6.5%)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18646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0ABFD1A4"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7F67C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Other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BDE13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480 (5.1%)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75C83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 (0.6%)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8F63B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474 (5.6%)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F0322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142AC9A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DA362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Maculopapular rash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5C4B2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209 (2.2%)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BB56F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209 (22%)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03B55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51B21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795993C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8680F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Conjuctivitis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0DEB7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105 (1.1%)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0EA0A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105 (11%)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36D71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E6DA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093F0DA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812E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Vomiting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4B57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93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6BB33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93 (9.7%)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C8094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187B4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2BBD13E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FB302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Headache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7357B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71 (0.8%)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F97BA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71 (7.4%)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0A4E0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6117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70246D0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B14CC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Paroxysmal coughing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B293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69 (0.7%)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C7E77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69 (7.2%)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0674B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B8D0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B5FC03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78C44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Tiredness / Body malaise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E739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52 (0.6%)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75509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52 (5.4%)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A221C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F59B9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6523F11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5D99E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Inspirational whoop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E70FD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 (0.5%)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5840F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 (4.6%)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0251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5C688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763F47E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C6D8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Acute febrile illness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6F91D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 (0.2%)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39AF8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10B00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3CF2E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7ED4BC0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38001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Rice-water stools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678C0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72D78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C450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54307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5BB0D5E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F1374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rPr>
              <w:t>Coryza (running nose)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E1F9B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354B9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A22B4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636F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 (0%)</w:t>
            </w:r>
          </w:p>
        </w:tc>
      </w:tr>
      <w:tr w:rsidR="00EF1121" w14:paraId="3BE7C5AC" w14:textId="77777777">
        <w:trPr>
          <w:jc w:val="center"/>
        </w:trPr>
        <w:tc>
          <w:tcPr>
            <w:tcW w:w="0" w:type="auto"/>
            <w:gridSpan w:val="5"/>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18239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vertAlign w:val="superscript"/>
              </w:rPr>
              <w:lastRenderedPageBreak/>
              <w:t>1</w:t>
            </w:r>
            <w:r>
              <w:rPr>
                <w:rFonts w:eastAsia="Helvetica" w:hAnsi="Helvetica" w:cs="Helvetica"/>
                <w:color w:val="000000"/>
                <w:sz w:val="18"/>
                <w:szCs w:val="18"/>
              </w:rPr>
              <w:t>n (%)</w:t>
            </w:r>
          </w:p>
        </w:tc>
      </w:tr>
    </w:tbl>
    <w:p w14:paraId="45972855" w14:textId="77777777" w:rsidR="00EF1121" w:rsidRDefault="00000000">
      <w:r>
        <w:br w:type="page"/>
      </w:r>
    </w:p>
    <w:p w14:paraId="52F31E58" w14:textId="77777777" w:rsidR="00EF1121" w:rsidRDefault="00000000">
      <w:pPr>
        <w:pStyle w:val="Heading1"/>
      </w:pPr>
      <w:bookmarkStart w:id="23" w:name="conclusion"/>
      <w:bookmarkEnd w:id="5"/>
      <w:bookmarkEnd w:id="17"/>
      <w:bookmarkEnd w:id="21"/>
      <w:r>
        <w:lastRenderedPageBreak/>
        <w:t>Conclusion</w:t>
      </w:r>
    </w:p>
    <w:p w14:paraId="53DFEB29" w14:textId="77777777" w:rsidR="00EF1121" w:rsidRDefault="00000000">
      <w:pPr>
        <w:pStyle w:val="FirstParagraph"/>
      </w:pPr>
      <w:r>
        <w:t>The majority of notifications were clinical notifications. The increase in average active users and newly registered users over time is an indication of an increase in the acceptance of the NMC App in the provinces. The completeness of patient clinical details and patient demographic details have improved, due to the application of mandatory fields on the NMC App. There was a delay in reporting tuberculosis cases. The data harmonization processes between the current and improved NMC system are underway to improve reporting.</w:t>
      </w:r>
    </w:p>
    <w:p w14:paraId="504D71E3" w14:textId="77777777" w:rsidR="00EF1121" w:rsidRDefault="00000000">
      <w:pPr>
        <w:pStyle w:val="Heading1"/>
      </w:pPr>
      <w:bookmarkStart w:id="24" w:name="recommendations"/>
      <w:bookmarkEnd w:id="23"/>
      <w:r>
        <w:t>Recommendations</w:t>
      </w:r>
    </w:p>
    <w:p w14:paraId="4617042E" w14:textId="77777777" w:rsidR="00EF1121" w:rsidRDefault="00000000">
      <w:pPr>
        <w:pStyle w:val="Compact"/>
        <w:numPr>
          <w:ilvl w:val="0"/>
          <w:numId w:val="22"/>
        </w:numPr>
      </w:pPr>
      <w:r>
        <w:t>We recommend the expedition of NMC App “whitelisting” on the provincial departmental intranet to make the electronic notification platform more accessible to health facilities.</w:t>
      </w:r>
    </w:p>
    <w:p w14:paraId="7C083611" w14:textId="77777777" w:rsidR="00EF1121" w:rsidRDefault="00000000">
      <w:pPr>
        <w:pStyle w:val="Compact"/>
        <w:numPr>
          <w:ilvl w:val="0"/>
          <w:numId w:val="22"/>
        </w:numPr>
      </w:pPr>
      <w:r>
        <w:t>We recommend that clinicians should complete all patient clinical and demographic details to improve completeness.</w:t>
      </w:r>
    </w:p>
    <w:p w14:paraId="620F36D0" w14:textId="77777777" w:rsidR="00EF1121" w:rsidRDefault="00000000">
      <w:pPr>
        <w:pStyle w:val="Compact"/>
        <w:numPr>
          <w:ilvl w:val="0"/>
          <w:numId w:val="22"/>
        </w:numPr>
      </w:pPr>
      <w:r>
        <w:t>NMC Trainers to emphasize the importance of timeous reporting of Category 1 and 2 NMCs, in order to ensure real-time availability of data for public health action.</w:t>
      </w:r>
    </w:p>
    <w:p w14:paraId="7CB6C783" w14:textId="77777777" w:rsidR="00EF1121" w:rsidRDefault="00000000">
      <w:r>
        <w:br w:type="page"/>
      </w:r>
    </w:p>
    <w:p w14:paraId="254A430C" w14:textId="13294D97" w:rsidR="00EF1121" w:rsidRDefault="00000000" w:rsidP="003F6EF4">
      <w:pPr>
        <w:pStyle w:val="Heading1"/>
      </w:pPr>
      <w:bookmarkStart w:id="25" w:name="appendices"/>
      <w:bookmarkEnd w:id="24"/>
      <w:r>
        <w:lastRenderedPageBreak/>
        <w:t>Appendices</w:t>
      </w:r>
      <w:bookmarkStart w:id="26" w:name="X06064ce3df4d96250fc4d7ea5ad47da2292d7eb"/>
      <w:r w:rsidR="003F6EF4">
        <w:br/>
      </w:r>
      <w:r>
        <w:t xml:space="preserve">Appendix no.1: Back captured clinical </w:t>
      </w:r>
      <w:proofErr w:type="gramStart"/>
      <w:r>
        <w:t>notifications</w:t>
      </w:r>
      <w:proofErr w:type="gramEnd"/>
    </w:p>
    <w:p w14:paraId="2CFAE659" w14:textId="77777777" w:rsidR="00EF1121" w:rsidRDefault="00000000">
      <w:pPr>
        <w:pStyle w:val="TableCaption"/>
      </w:pPr>
      <w:bookmarkStart w:id="27" w:name="tab:unnamed-chunk-17"/>
      <w:bookmarkEnd w:id="27"/>
      <w:r>
        <w:t>Table 10: Back captured notifications by reporting province</w:t>
      </w:r>
    </w:p>
    <w:tbl>
      <w:tblPr>
        <w:tblW w:w="4950" w:type="pct"/>
        <w:jc w:val="center"/>
        <w:tblLook w:val="0420" w:firstRow="1" w:lastRow="0" w:firstColumn="0" w:lastColumn="0" w:noHBand="0" w:noVBand="1"/>
      </w:tblPr>
      <w:tblGrid>
        <w:gridCol w:w="2785"/>
        <w:gridCol w:w="1133"/>
        <w:gridCol w:w="484"/>
        <w:gridCol w:w="480"/>
        <w:gridCol w:w="548"/>
        <w:gridCol w:w="585"/>
        <w:gridCol w:w="480"/>
        <w:gridCol w:w="513"/>
        <w:gridCol w:w="548"/>
        <w:gridCol w:w="545"/>
        <w:gridCol w:w="553"/>
        <w:gridCol w:w="945"/>
        <w:gridCol w:w="1910"/>
        <w:gridCol w:w="850"/>
        <w:gridCol w:w="646"/>
        <w:gridCol w:w="538"/>
      </w:tblGrid>
      <w:tr w:rsidR="00EF1121" w14:paraId="1D80FAB4" w14:textId="77777777" w:rsidTr="00BA38F4">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3A6A5"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 xml:space="preserve"> </w:t>
            </w:r>
          </w:p>
        </w:tc>
        <w:tc>
          <w:tcPr>
            <w:tcW w:w="42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CD84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Overall</w:t>
            </w:r>
          </w:p>
        </w:tc>
        <w:tc>
          <w:tcPr>
            <w:tcW w:w="1702" w:type="pct"/>
            <w:gridSpan w:val="9"/>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177C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Province</w:t>
            </w:r>
          </w:p>
        </w:tc>
        <w:tc>
          <w:tcPr>
            <w:tcW w:w="0" w:type="auto"/>
            <w:gridSpan w:val="5"/>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BF2D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Case Source</w:t>
            </w:r>
          </w:p>
        </w:tc>
      </w:tr>
      <w:tr w:rsidR="00EF1121" w14:paraId="3511D4C5" w14:textId="77777777" w:rsidTr="00BA38F4">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E8CF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b/>
                <w:color w:val="000000"/>
                <w:sz w:val="18"/>
                <w:szCs w:val="18"/>
              </w:rPr>
              <w:t>Condition</w:t>
            </w:r>
          </w:p>
        </w:tc>
        <w:tc>
          <w:tcPr>
            <w:tcW w:w="42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24402"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Overall</w:t>
            </w:r>
            <w:r>
              <w:rPr>
                <w:rFonts w:eastAsia="Helvetica" w:hAnsi="Helvetica" w:cs="Helvetica"/>
                <w:color w:val="000000"/>
                <w:sz w:val="18"/>
                <w:szCs w:val="18"/>
              </w:rPr>
              <w:t>,</w:t>
            </w:r>
            <w:r>
              <w:rPr>
                <w:rFonts w:eastAsia="Helvetica" w:hAnsi="Helvetica" w:cs="Helvetica"/>
                <w:color w:val="000000"/>
                <w:sz w:val="18"/>
                <w:szCs w:val="18"/>
              </w:rPr>
              <w:br/>
              <w:t>n = 1083</w:t>
            </w:r>
          </w:p>
        </w:tc>
        <w:tc>
          <w:tcPr>
            <w:tcW w:w="94"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7D2C6"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EC</w:t>
            </w:r>
            <w:r>
              <w:rPr>
                <w:rFonts w:eastAsia="Helvetica" w:hAnsi="Helvetica" w:cs="Helvetica"/>
                <w:color w:val="000000"/>
                <w:sz w:val="18"/>
                <w:szCs w:val="18"/>
              </w:rPr>
              <w:t>,</w:t>
            </w:r>
            <w:r>
              <w:rPr>
                <w:rFonts w:eastAsia="Helvetica" w:hAnsi="Helvetica" w:cs="Helvetica"/>
                <w:color w:val="000000"/>
                <w:sz w:val="18"/>
                <w:szCs w:val="18"/>
              </w:rPr>
              <w:br/>
              <w:t>n = 91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DCBCC"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FS</w:t>
            </w:r>
            <w:r>
              <w:rPr>
                <w:rFonts w:eastAsia="Helvetica" w:hAnsi="Helvetica" w:cs="Helvetica"/>
                <w:color w:val="000000"/>
                <w:sz w:val="18"/>
                <w:szCs w:val="18"/>
              </w:rPr>
              <w:t>,</w:t>
            </w:r>
            <w:r>
              <w:rPr>
                <w:rFonts w:eastAsia="Helvetica" w:hAnsi="Helvetica" w:cs="Helvetica"/>
                <w:color w:val="000000"/>
                <w:sz w:val="18"/>
                <w:szCs w:val="18"/>
              </w:rPr>
              <w:br/>
              <w:t>n = 50</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0311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GP</w:t>
            </w:r>
            <w:r>
              <w:rPr>
                <w:rFonts w:eastAsia="Helvetica" w:hAnsi="Helvetica" w:cs="Helvetica"/>
                <w:color w:val="000000"/>
                <w:sz w:val="18"/>
                <w:szCs w:val="18"/>
              </w:rPr>
              <w:t>,</w:t>
            </w:r>
            <w:r>
              <w:rPr>
                <w:rFonts w:eastAsia="Helvetica" w:hAnsi="Helvetica" w:cs="Helvetica"/>
                <w:color w:val="000000"/>
                <w:sz w:val="18"/>
                <w:szCs w:val="18"/>
              </w:rPr>
              <w:br/>
              <w:t>n = 398</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8335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KZN</w:t>
            </w:r>
            <w:r>
              <w:rPr>
                <w:rFonts w:eastAsia="Helvetica" w:hAnsi="Helvetica" w:cs="Helvetica"/>
                <w:color w:val="000000"/>
                <w:sz w:val="18"/>
                <w:szCs w:val="18"/>
              </w:rPr>
              <w:t>,</w:t>
            </w:r>
            <w:r>
              <w:rPr>
                <w:rFonts w:eastAsia="Helvetica" w:hAnsi="Helvetica" w:cs="Helvetica"/>
                <w:color w:val="000000"/>
                <w:sz w:val="18"/>
                <w:szCs w:val="18"/>
              </w:rPr>
              <w:br/>
              <w:t>n = 212</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697B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LP</w:t>
            </w:r>
            <w:r>
              <w:rPr>
                <w:rFonts w:eastAsia="Helvetica" w:hAnsi="Helvetica" w:cs="Helvetica"/>
                <w:color w:val="000000"/>
                <w:sz w:val="18"/>
                <w:szCs w:val="18"/>
              </w:rPr>
              <w:t>,</w:t>
            </w:r>
            <w:r>
              <w:rPr>
                <w:rFonts w:eastAsia="Helvetica" w:hAnsi="Helvetica" w:cs="Helvetica"/>
                <w:color w:val="000000"/>
                <w:sz w:val="18"/>
                <w:szCs w:val="18"/>
              </w:rPr>
              <w:br/>
              <w:t>n = 49</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69AF9"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MP</w:t>
            </w:r>
            <w:r>
              <w:rPr>
                <w:rFonts w:eastAsia="Helvetica" w:hAnsi="Helvetica" w:cs="Helvetica"/>
                <w:color w:val="000000"/>
                <w:sz w:val="18"/>
                <w:szCs w:val="18"/>
              </w:rPr>
              <w:t>,</w:t>
            </w:r>
            <w:r>
              <w:rPr>
                <w:rFonts w:eastAsia="Helvetica" w:hAnsi="Helvetica" w:cs="Helvetica"/>
                <w:color w:val="000000"/>
                <w:sz w:val="18"/>
                <w:szCs w:val="18"/>
              </w:rPr>
              <w:br/>
              <w:t>n = 23</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4207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NC</w:t>
            </w:r>
            <w:r>
              <w:rPr>
                <w:rFonts w:eastAsia="Helvetica" w:hAnsi="Helvetica" w:cs="Helvetica"/>
                <w:color w:val="000000"/>
                <w:sz w:val="18"/>
                <w:szCs w:val="18"/>
              </w:rPr>
              <w:t>,</w:t>
            </w:r>
            <w:r>
              <w:rPr>
                <w:rFonts w:eastAsia="Helvetica" w:hAnsi="Helvetica" w:cs="Helvetica"/>
                <w:color w:val="000000"/>
                <w:sz w:val="18"/>
                <w:szCs w:val="18"/>
              </w:rPr>
              <w:br/>
              <w:t>n = 102</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F5A09"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NW</w:t>
            </w:r>
            <w:r>
              <w:rPr>
                <w:rFonts w:eastAsia="Helvetica" w:hAnsi="Helvetica" w:cs="Helvetica"/>
                <w:color w:val="000000"/>
                <w:sz w:val="18"/>
                <w:szCs w:val="18"/>
              </w:rPr>
              <w:t>,</w:t>
            </w:r>
            <w:r>
              <w:rPr>
                <w:rFonts w:eastAsia="Helvetica" w:hAnsi="Helvetica" w:cs="Helvetica"/>
                <w:color w:val="000000"/>
                <w:sz w:val="18"/>
                <w:szCs w:val="18"/>
              </w:rPr>
              <w:br/>
              <w:t>n = 34</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E0A6C"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WC</w:t>
            </w:r>
            <w:r>
              <w:rPr>
                <w:rFonts w:eastAsia="Helvetica" w:hAnsi="Helvetica" w:cs="Helvetica"/>
                <w:color w:val="000000"/>
                <w:sz w:val="18"/>
                <w:szCs w:val="18"/>
              </w:rPr>
              <w:t>,</w:t>
            </w:r>
            <w:r>
              <w:rPr>
                <w:rFonts w:eastAsia="Helvetica" w:hAnsi="Helvetica" w:cs="Helvetica"/>
                <w:color w:val="000000"/>
                <w:sz w:val="18"/>
                <w:szCs w:val="18"/>
              </w:rPr>
              <w:br/>
              <w:t>n = 124</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2B47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Android</w:t>
            </w:r>
            <w:r>
              <w:rPr>
                <w:rFonts w:eastAsia="Helvetica" w:hAnsi="Helvetica" w:cs="Helvetica"/>
                <w:color w:val="000000"/>
                <w:sz w:val="18"/>
                <w:szCs w:val="18"/>
              </w:rPr>
              <w:t xml:space="preserve">, </w:t>
            </w:r>
            <w:r>
              <w:rPr>
                <w:rFonts w:eastAsia="Helvetica" w:hAnsi="Helvetica" w:cs="Helvetica"/>
                <w:color w:val="000000"/>
                <w:sz w:val="18"/>
                <w:szCs w:val="18"/>
              </w:rPr>
              <w:br/>
              <w:t>n = 313</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1196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Microstrategy/SDW</w:t>
            </w:r>
            <w:r>
              <w:rPr>
                <w:rFonts w:eastAsia="Helvetica" w:hAnsi="Helvetica" w:cs="Helvetica"/>
                <w:color w:val="000000"/>
                <w:sz w:val="18"/>
                <w:szCs w:val="18"/>
              </w:rPr>
              <w:t xml:space="preserve">, </w:t>
            </w:r>
            <w:r>
              <w:rPr>
                <w:rFonts w:eastAsia="Helvetica" w:hAnsi="Helvetica" w:cs="Helvetica"/>
                <w:color w:val="000000"/>
                <w:sz w:val="18"/>
                <w:szCs w:val="18"/>
              </w:rPr>
              <w:br/>
              <w:t>n = 5</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89A1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Paper-based</w:t>
            </w:r>
            <w:r>
              <w:rPr>
                <w:rFonts w:eastAsia="Helvetica" w:hAnsi="Helvetica" w:cs="Helvetica"/>
                <w:color w:val="000000"/>
                <w:sz w:val="18"/>
                <w:szCs w:val="18"/>
              </w:rPr>
              <w:t xml:space="preserve">, </w:t>
            </w:r>
            <w:r>
              <w:rPr>
                <w:rFonts w:eastAsia="Helvetica" w:hAnsi="Helvetica" w:cs="Helvetica"/>
                <w:color w:val="000000"/>
                <w:sz w:val="18"/>
                <w:szCs w:val="18"/>
              </w:rPr>
              <w:br/>
              <w:t>n = 12</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D9451"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Web</w:t>
            </w:r>
            <w:r>
              <w:rPr>
                <w:rFonts w:eastAsia="Helvetica" w:hAnsi="Helvetica" w:cs="Helvetica"/>
                <w:color w:val="000000"/>
                <w:sz w:val="18"/>
                <w:szCs w:val="18"/>
              </w:rPr>
              <w:t xml:space="preserve">, </w:t>
            </w:r>
            <w:r>
              <w:rPr>
                <w:rFonts w:eastAsia="Helvetica" w:hAnsi="Helvetica" w:cs="Helvetica"/>
                <w:color w:val="000000"/>
                <w:sz w:val="18"/>
                <w:szCs w:val="18"/>
              </w:rPr>
              <w:br/>
              <w:t>n = 711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FC76A"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iOS</w:t>
            </w:r>
            <w:r>
              <w:rPr>
                <w:rFonts w:eastAsia="Helvetica" w:hAnsi="Helvetica" w:cs="Helvetica"/>
                <w:color w:val="000000"/>
                <w:sz w:val="18"/>
                <w:szCs w:val="18"/>
              </w:rPr>
              <w:t xml:space="preserve">, </w:t>
            </w:r>
            <w:r>
              <w:rPr>
                <w:rFonts w:eastAsia="Helvetica" w:hAnsi="Helvetica" w:cs="Helvetica"/>
                <w:color w:val="000000"/>
                <w:sz w:val="18"/>
                <w:szCs w:val="18"/>
              </w:rPr>
              <w:br/>
              <w:t>n = 42</w:t>
            </w:r>
          </w:p>
        </w:tc>
      </w:tr>
      <w:tr w:rsidR="00EF1121" w14:paraId="0FE50A71" w14:textId="77777777" w:rsidTr="00BA38F4">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1C6A4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Acute Flaccid Paralysis</w:t>
            </w:r>
          </w:p>
        </w:tc>
        <w:tc>
          <w:tcPr>
            <w:tcW w:w="42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26D28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94"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686F7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893F4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4DB48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1467A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DA4BC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99519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DC720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0EBA9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1973C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7C286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2618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7AA22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ABC5A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C976F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0CC7F53B"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CE537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Agricultural or stock remedy poisoning</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3C6F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13 (1.2%)</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D5561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55629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B3FC5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E48C5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E9C82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B0E12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BB671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6EE53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5BBB8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3525E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FAA5F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BDD94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45965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A66D9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121" w14:paraId="662247CB"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17A02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Bilharzia (schistosomiasis)</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67586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 (0.3%)</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B71A4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7895E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1B6C8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20287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BCABB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13EFC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E1B76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4A5C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99B80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370AB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1E9B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8FDAE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CDF6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81443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1E19B222"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292CD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syphilis</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A9CB6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 (1.1%)</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ED416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F3DAF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245D4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1AFF9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CC811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827BB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D1438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19157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588A1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B729E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CEE1E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BC245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A1E6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FC38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74F95F3A"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D3856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A</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B1FC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 (0.8%)</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3B9D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1952F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91A96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1C80B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823A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029B2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07B79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BA03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DED8F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374E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D625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6F26B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2D63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58567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306FB476"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C7320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B</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6F70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 (2.6%)</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D0BCF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EEF4C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3138F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63C22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1B811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34616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8913D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CB092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2A11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F4056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8093D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575C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73393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7C7F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271521BC"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6AE94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Hepatitis C</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83736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 (0.6%)</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E010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A9D9C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15AEA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D9BE9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7282C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0EC0F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0C921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CC96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760D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AAEB9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1C4DB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DEC4E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3537D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AD514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4207D257"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BC018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Malaria</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94CA1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1A2AB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E5EEF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0D92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B1CD7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242B1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95070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3BD8A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F29C2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5CCA1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C203C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17322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EB9B4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B07A3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4D42C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2B7C023B"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1D2BB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Maternal death (pregnancy, childbirth and puerperium)</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23231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 (0.5%)</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04E1E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5AFA2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3BED4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0ABCB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F5D4D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F28C8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05E3C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FFD66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D1257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96ACA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6B6B5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03058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F8336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D9FAE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121" w14:paraId="63B8FD76"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6E6AB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Measles</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020F0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 (0.3%)</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068F9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BFD28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FD294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24D87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91210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ABD9B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CB02D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39AE8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E94D8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4F2D3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87AC7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F1391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28D11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EB661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121" w14:paraId="33A4339E"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E088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Meningococcal Disease</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D557A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 (&lt;0.1%)</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8F8C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01D8F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ED592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828D8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7B614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F013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ED4A9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53F0A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50AE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C0ACC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B0BB7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156D9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1B43F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0BB82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74DD1886"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5CF58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 extensively drug -resistant (XDR -TB)</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43768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 (0.2%)</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2643D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05C7E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D1D9B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9AB05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C493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4242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08F78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0BEB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594CD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E5467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CD412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4A8EF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5AE92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B048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2E53946E"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02C6D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 multidrug- resistant (MDR -TB)</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91F66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38 (3.5%)</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A682E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F93F5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00FCC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EEFD6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7CCD8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E4D3B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99CA2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ED020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73256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6F957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C70D3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53D0C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7D202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48864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r>
      <w:tr w:rsidR="00EF1121" w14:paraId="466F1FDA" w14:textId="77777777" w:rsidTr="00BA38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71FC8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Tuberculosis:extra-pulmonary</w:t>
            </w:r>
          </w:p>
        </w:tc>
        <w:tc>
          <w:tcPr>
            <w:tcW w:w="4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F0B1B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233 (22%)</w:t>
            </w:r>
          </w:p>
        </w:tc>
        <w:tc>
          <w:tcPr>
            <w:tcW w:w="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DE6C9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F8655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53E8C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16336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BDA0E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D1714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F3FB6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0057E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3885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67021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C78D0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7A6EF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F7AE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1BD2B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w:t>
            </w:r>
          </w:p>
        </w:tc>
      </w:tr>
      <w:tr w:rsidR="00EF1121" w14:paraId="0B56CA99" w14:textId="77777777" w:rsidTr="00BA38F4">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025CD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Tuberculosis:pulmonary</w:t>
            </w:r>
          </w:p>
        </w:tc>
        <w:tc>
          <w:tcPr>
            <w:tcW w:w="429"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54C97C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727 (67%)</w:t>
            </w:r>
          </w:p>
        </w:tc>
        <w:tc>
          <w:tcPr>
            <w:tcW w:w="94"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666C40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F7AC5C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34</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402A5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248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48B9F4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B699A9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D5C771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F52485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92</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2AECD8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70ED72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79</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F60043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251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18DF1F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D89727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CF92D3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E48D66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26</w:t>
            </w:r>
          </w:p>
        </w:tc>
      </w:tr>
    </w:tbl>
    <w:p w14:paraId="6E11B080" w14:textId="77777777" w:rsidR="00EF1121" w:rsidRDefault="00000000">
      <w:pPr>
        <w:pStyle w:val="Heading2"/>
      </w:pPr>
      <w:bookmarkStart w:id="28" w:name="appendix-no.2-summary-of-nmcss-data-flow"/>
      <w:bookmarkEnd w:id="26"/>
      <w:r>
        <w:lastRenderedPageBreak/>
        <w:t>Appendix no.2: Summary of NMCSS Data Flow</w:t>
      </w:r>
    </w:p>
    <w:p w14:paraId="37AD04A1" w14:textId="77777777" w:rsidR="00EF1121" w:rsidRDefault="00000000">
      <w:pPr>
        <w:pStyle w:val="FirstParagraph"/>
      </w:pPr>
      <w:r>
        <w:rPr>
          <w:noProof/>
        </w:rPr>
        <w:drawing>
          <wp:inline distT="0" distB="0" distL="0" distR="0" wp14:anchorId="0B9C2889" wp14:editId="00CBBEC1">
            <wp:extent cx="8686800" cy="428503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Picture" descr="images/dataflow.png"/>
                    <pic:cNvPicPr>
                      <a:picLocks noChangeAspect="1" noChangeArrowheads="1"/>
                    </pic:cNvPicPr>
                  </pic:nvPicPr>
                  <pic:blipFill>
                    <a:blip r:embed="rId11"/>
                    <a:stretch>
                      <a:fillRect/>
                    </a:stretch>
                  </pic:blipFill>
                  <pic:spPr bwMode="auto">
                    <a:xfrm>
                      <a:off x="0" y="0"/>
                      <a:ext cx="8686800" cy="4285030"/>
                    </a:xfrm>
                    <a:prstGeom prst="rect">
                      <a:avLst/>
                    </a:prstGeom>
                    <a:noFill/>
                    <a:ln w="9525">
                      <a:noFill/>
                      <a:headEnd/>
                      <a:tailEnd/>
                    </a:ln>
                  </pic:spPr>
                </pic:pic>
              </a:graphicData>
            </a:graphic>
          </wp:inline>
        </w:drawing>
      </w:r>
    </w:p>
    <w:p w14:paraId="03975E26" w14:textId="77777777" w:rsidR="00EF1121" w:rsidRDefault="00000000">
      <w:r>
        <w:br w:type="page"/>
      </w:r>
    </w:p>
    <w:p w14:paraId="61037A1F" w14:textId="77777777" w:rsidR="00EF1121" w:rsidRDefault="00000000">
      <w:pPr>
        <w:pStyle w:val="Heading2"/>
      </w:pPr>
      <w:bookmarkStart w:id="29" w:name="X41912ee9326708701e7f35b6c7659f2dedf67a2"/>
      <w:bookmarkEnd w:id="28"/>
      <w:r>
        <w:lastRenderedPageBreak/>
        <w:t>Appendix no.3: NMC Categories, and Case Classification definitions</w:t>
      </w:r>
    </w:p>
    <w:p w14:paraId="5D70D871" w14:textId="77777777" w:rsidR="00EF1121" w:rsidRDefault="00000000">
      <w:pPr>
        <w:pStyle w:val="FirstParagraph"/>
      </w:pPr>
      <w:r>
        <w:rPr>
          <w:b/>
          <w:bCs/>
        </w:rPr>
        <w:t>NMC categories</w:t>
      </w:r>
    </w:p>
    <w:p w14:paraId="4D2C5771" w14:textId="77777777" w:rsidR="00EF1121" w:rsidRDefault="00000000">
      <w:pPr>
        <w:pStyle w:val="BodyText"/>
      </w:pPr>
      <w:r>
        <w:rPr>
          <w:b/>
          <w:bCs/>
        </w:rPr>
        <w:t>Category 1</w:t>
      </w:r>
      <w:r>
        <w:t>: NMCs notified by the most rapid means available upon diagnosis, followed by a written or electronic notification to the Department of Health within 24 hours of diagnosis by healthcare providers, private health laboratories or public health laboratories. These conditions must be notified based on clinical suspicion irrespective of laboratory confirmation.</w:t>
      </w:r>
    </w:p>
    <w:p w14:paraId="39237593" w14:textId="77777777" w:rsidR="00EF1121" w:rsidRDefault="00000000">
      <w:pPr>
        <w:pStyle w:val="BodyText"/>
      </w:pPr>
      <w:r>
        <w:rPr>
          <w:b/>
          <w:bCs/>
        </w:rPr>
        <w:t>Category 2</w:t>
      </w:r>
      <w:r>
        <w:t>: NMCs notified through a written or an electronic notification to the Department of Health of clinical or laboratory diagnosis within 7 days by healthcare providers, private health laboratories or public health laboratories.</w:t>
      </w:r>
    </w:p>
    <w:p w14:paraId="206254FB" w14:textId="77777777" w:rsidR="00EF1121" w:rsidRDefault="00000000">
      <w:pPr>
        <w:pStyle w:val="BodyText"/>
      </w:pPr>
      <w:r>
        <w:rPr>
          <w:b/>
          <w:bCs/>
        </w:rPr>
        <w:t>Category 3</w:t>
      </w:r>
      <w:r>
        <w:t>: NMCs notified through a written or electronic notification to the Department of Health within 7 days of diagnosis by public and private health laboratories.</w:t>
      </w:r>
    </w:p>
    <w:p w14:paraId="7762ED15" w14:textId="77777777" w:rsidR="00EF1121" w:rsidRDefault="00000000">
      <w:pPr>
        <w:pStyle w:val="BodyText"/>
      </w:pPr>
      <w:r>
        <w:rPr>
          <w:b/>
          <w:bCs/>
        </w:rPr>
        <w:t>Category 4</w:t>
      </w:r>
      <w:r>
        <w:t>: NMCs notified through a written or electronic notification to the Department of Health within 1 month of diagnosis by public and private health laboratories.</w:t>
      </w:r>
    </w:p>
    <w:p w14:paraId="292E3EE8" w14:textId="77777777" w:rsidR="00EF1121" w:rsidRDefault="00000000">
      <w:pPr>
        <w:pStyle w:val="BodyText"/>
      </w:pPr>
      <w:r>
        <w:rPr>
          <w:b/>
          <w:bCs/>
        </w:rPr>
        <w:t>Case Classification definitions</w:t>
      </w:r>
    </w:p>
    <w:p w14:paraId="6E3022EB" w14:textId="77777777" w:rsidR="00EF1121" w:rsidRDefault="00000000">
      <w:pPr>
        <w:pStyle w:val="BodyText"/>
      </w:pPr>
      <w:r>
        <w:rPr>
          <w:b/>
          <w:bCs/>
        </w:rPr>
        <w:t>Clinical case</w:t>
      </w:r>
      <w:r>
        <w:t>: are cases reported to the NMC by health care providers at facilities, either through completion of a paper form that is faxed, emailed to National Institute of Communicable Diseases (NICD), or by direct data entry into the NMC application on a PC, laptop or mobile device. The diagnosis is made by the clinician on the basis of case definitions published on the NICD website.</w:t>
      </w:r>
    </w:p>
    <w:p w14:paraId="47B88D01" w14:textId="77777777" w:rsidR="00EF1121" w:rsidRDefault="00000000">
      <w:pPr>
        <w:pStyle w:val="BodyText"/>
      </w:pPr>
      <w:r>
        <w:rPr>
          <w:b/>
          <w:bCs/>
        </w:rPr>
        <w:t>Laboratory case</w:t>
      </w:r>
      <w:r>
        <w:t>: are cases that are downloaded into the NMC database directly from the National Health Laboratory Services (NHLS) laboratory information system. The NMC application applies the case definitions that are published on the NICD website. Private sector data is being sourced.</w:t>
      </w:r>
    </w:p>
    <w:p w14:paraId="0E062E1E" w14:textId="77777777" w:rsidR="00EF1121" w:rsidRDefault="00000000">
      <w:pPr>
        <w:pStyle w:val="BodyText"/>
      </w:pPr>
      <w:r>
        <w:rPr>
          <w:b/>
          <w:bCs/>
        </w:rPr>
        <w:t>Merged cases</w:t>
      </w:r>
      <w:r>
        <w:t>: are cases where a case was notified by health care provider at the facility (a ‘clinical case’) AND the laboratory issued a report with a positive result for the same case (a ’laboratory case). The NMC App is set up to automatically detect and link clinical and laboratory case notifications. The NICD specialist Centres and NMC data team review all cases and manually link any remaining clinical and laboratory cases</w:t>
      </w:r>
    </w:p>
    <w:p w14:paraId="1E23E4B5" w14:textId="77777777" w:rsidR="00EF1121" w:rsidRDefault="00000000">
      <w:pPr>
        <w:pStyle w:val="BodyText"/>
      </w:pPr>
      <w:r>
        <w:rPr>
          <w:b/>
          <w:bCs/>
        </w:rPr>
        <w:t>Notification capture times definitions</w:t>
      </w:r>
    </w:p>
    <w:p w14:paraId="6209A2E2" w14:textId="77777777" w:rsidR="00EF1121" w:rsidRDefault="00000000">
      <w:pPr>
        <w:pStyle w:val="BodyText"/>
      </w:pPr>
      <w:r>
        <w:rPr>
          <w:b/>
          <w:bCs/>
        </w:rPr>
        <w:t>Current notification</w:t>
      </w:r>
      <w:r>
        <w:t>: All cases diagnosed and notified in the current month</w:t>
      </w:r>
    </w:p>
    <w:p w14:paraId="26BA9B9C" w14:textId="77777777" w:rsidR="00EF1121" w:rsidRDefault="00000000">
      <w:pPr>
        <w:pStyle w:val="BodyText"/>
      </w:pPr>
      <w:r>
        <w:rPr>
          <w:b/>
          <w:bCs/>
        </w:rPr>
        <w:t>Delayed notification</w:t>
      </w:r>
      <w:r>
        <w:t>: All cases diagnosed in the last 14 days from the previous month</w:t>
      </w:r>
    </w:p>
    <w:p w14:paraId="5FF06B8A" w14:textId="77777777" w:rsidR="00EF1121" w:rsidRDefault="00000000">
      <w:pPr>
        <w:pStyle w:val="BodyText"/>
      </w:pPr>
      <w:r>
        <w:rPr>
          <w:b/>
          <w:bCs/>
        </w:rPr>
        <w:t>Back capture notification</w:t>
      </w:r>
      <w:r>
        <w:t>: All cases diagnosed in previous months and before the last 14 days of the previous month.</w:t>
      </w:r>
    </w:p>
    <w:p w14:paraId="255A6BFE" w14:textId="77777777" w:rsidR="00EF1121" w:rsidRDefault="00000000">
      <w:r>
        <w:br w:type="page"/>
      </w:r>
    </w:p>
    <w:p w14:paraId="18EDC777" w14:textId="77777777" w:rsidR="00EF1121" w:rsidRDefault="00000000">
      <w:pPr>
        <w:pStyle w:val="Heading2"/>
      </w:pPr>
      <w:bookmarkStart w:id="30" w:name="X5d5c19f7b4bfefebf7f268a90e1f80be5f80298"/>
      <w:bookmarkEnd w:id="29"/>
      <w:r>
        <w:lastRenderedPageBreak/>
        <w:t>Appendix no.4: IDSR reporting template for IDSR conditions existing on NMC by under-5 and 5-and-over years and vital status.</w:t>
      </w:r>
    </w:p>
    <w:p w14:paraId="7509F20D" w14:textId="77777777" w:rsidR="00EF1121" w:rsidRDefault="00000000">
      <w:pPr>
        <w:pStyle w:val="TableCaption"/>
      </w:pPr>
      <w:bookmarkStart w:id="31" w:name="tab:tbl-IDSR"/>
      <w:bookmarkEnd w:id="31"/>
      <w:r>
        <w:t>Table 11: The number of IDSR conditions laboratory notified to the NMC using the IDSR reporting template of under and 5-and-above years by vital status.</w:t>
      </w:r>
    </w:p>
    <w:tbl>
      <w:tblPr>
        <w:tblW w:w="4950" w:type="pct"/>
        <w:jc w:val="center"/>
        <w:tblLook w:val="0420" w:firstRow="1" w:lastRow="0" w:firstColumn="0" w:lastColumn="0" w:noHBand="0" w:noVBand="1"/>
      </w:tblPr>
      <w:tblGrid>
        <w:gridCol w:w="6264"/>
        <w:gridCol w:w="1428"/>
        <w:gridCol w:w="1488"/>
        <w:gridCol w:w="1479"/>
        <w:gridCol w:w="1418"/>
        <w:gridCol w:w="1466"/>
      </w:tblGrid>
      <w:tr w:rsidR="00EF1121" w14:paraId="55631AF3"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7C40D"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 xml:space="preserve"> </w:t>
            </w:r>
          </w:p>
        </w:tc>
        <w:tc>
          <w:tcPr>
            <w:tcW w:w="0" w:type="auto"/>
            <w:gridSpan w:val="4"/>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8ECC7"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color w:val="000000"/>
                <w:sz w:val="18"/>
                <w:szCs w:val="18"/>
              </w:rPr>
              <w:t>Notified/Suspected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0881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color w:val="000000"/>
                <w:sz w:val="18"/>
                <w:szCs w:val="18"/>
              </w:rPr>
              <w:t>Confirmed</w:t>
            </w:r>
          </w:p>
        </w:tc>
      </w:tr>
      <w:tr w:rsidR="00EF1121" w14:paraId="78D5376C" w14:textId="77777777">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DC8B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pPr>
            <w:r>
              <w:rPr>
                <w:rFonts w:eastAsia="Helvetica" w:hAnsi="Helvetica" w:cs="Helvetica"/>
                <w:color w:val="000000"/>
                <w:sz w:val="18"/>
                <w:szCs w:val="18"/>
              </w:rPr>
              <w:t>Condition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94E7F"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Under 5 A</w:t>
            </w:r>
            <w:r>
              <w:rPr>
                <w:rFonts w:eastAsia="Helvetica" w:hAnsi="Helvetica" w:cs="Helvetica"/>
                <w:color w:val="000000"/>
                <w:sz w:val="18"/>
                <w:szCs w:val="18"/>
              </w:rPr>
              <w:t xml:space="preserve">, </w:t>
            </w:r>
            <w:r>
              <w:rPr>
                <w:rFonts w:eastAsia="Helvetica" w:hAnsi="Helvetica" w:cs="Helvetica"/>
                <w:color w:val="000000"/>
                <w:sz w:val="18"/>
                <w:szCs w:val="18"/>
              </w:rPr>
              <w:br/>
              <w:t>N = 174</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54550"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5 &amp; over A</w:t>
            </w:r>
            <w:r>
              <w:rPr>
                <w:rFonts w:eastAsia="Helvetica" w:hAnsi="Helvetica" w:cs="Helvetica"/>
                <w:color w:val="000000"/>
                <w:sz w:val="18"/>
                <w:szCs w:val="18"/>
              </w:rPr>
              <w:t xml:space="preserve">, </w:t>
            </w:r>
            <w:r>
              <w:rPr>
                <w:rFonts w:eastAsia="Helvetica" w:hAnsi="Helvetica" w:cs="Helvetica"/>
                <w:color w:val="000000"/>
                <w:sz w:val="18"/>
                <w:szCs w:val="18"/>
              </w:rPr>
              <w:br/>
              <w:t>N = 551</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0EC78"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5 &amp; over D</w:t>
            </w:r>
            <w:r>
              <w:rPr>
                <w:rFonts w:eastAsia="Helvetica" w:hAnsi="Helvetica" w:cs="Helvetica"/>
                <w:color w:val="000000"/>
                <w:sz w:val="18"/>
                <w:szCs w:val="18"/>
              </w:rPr>
              <w:t xml:space="preserve">, </w:t>
            </w:r>
            <w:r>
              <w:rPr>
                <w:rFonts w:eastAsia="Helvetica" w:hAnsi="Helvetica" w:cs="Helvetica"/>
                <w:color w:val="000000"/>
                <w:sz w:val="18"/>
                <w:szCs w:val="18"/>
              </w:rPr>
              <w:br/>
              <w:t>N = 7</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CB2B3"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Under 5 D</w:t>
            </w:r>
            <w:r>
              <w:rPr>
                <w:rFonts w:eastAsia="Helvetica" w:hAnsi="Helvetica" w:cs="Helvetica"/>
                <w:color w:val="000000"/>
                <w:sz w:val="18"/>
                <w:szCs w:val="18"/>
              </w:rPr>
              <w:t xml:space="preserve">, </w:t>
            </w:r>
            <w:r>
              <w:rPr>
                <w:rFonts w:eastAsia="Helvetica" w:hAnsi="Helvetica" w:cs="Helvetica"/>
                <w:color w:val="000000"/>
                <w:sz w:val="18"/>
                <w:szCs w:val="18"/>
              </w:rPr>
              <w:br/>
              <w:t>N = 1</w:t>
            </w:r>
            <w:r>
              <w:rPr>
                <w:rFonts w:eastAsia="Helvetica" w:hAnsi="Helvetica" w:cs="Helvetica"/>
                <w:color w:val="000000"/>
                <w:sz w:val="18"/>
                <w:szCs w:val="18"/>
                <w:vertAlign w:val="superscript"/>
              </w:rPr>
              <w:t>1</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067A7" w14:textId="77777777" w:rsidR="00EF1121" w:rsidRDefault="00000000">
            <w:pPr>
              <w:pBdr>
                <w:top w:val="none" w:sz="0" w:space="0" w:color="000000"/>
                <w:left w:val="none" w:sz="0" w:space="0" w:color="000000"/>
                <w:bottom w:val="none" w:sz="0" w:space="0" w:color="000000"/>
                <w:right w:val="none" w:sz="0" w:space="0" w:color="000000"/>
              </w:pBdr>
              <w:spacing w:before="40" w:after="40"/>
              <w:ind w:left="100" w:right="100"/>
              <w:jc w:val="center"/>
            </w:pPr>
            <w:r>
              <w:rPr>
                <w:rFonts w:eastAsia="Helvetica" w:hAnsi="Helvetica" w:cs="Helvetica"/>
                <w:b/>
                <w:color w:val="000000"/>
                <w:sz w:val="18"/>
                <w:szCs w:val="18"/>
              </w:rPr>
              <w:t>N = 638</w:t>
            </w:r>
            <w:r>
              <w:rPr>
                <w:rFonts w:eastAsia="Helvetica" w:hAnsi="Helvetica" w:cs="Helvetica"/>
                <w:color w:val="000000"/>
                <w:sz w:val="18"/>
                <w:szCs w:val="18"/>
                <w:vertAlign w:val="superscript"/>
              </w:rPr>
              <w:t>1</w:t>
            </w:r>
          </w:p>
        </w:tc>
      </w:tr>
      <w:tr w:rsidR="00EF1121" w14:paraId="251FFB91" w14:textId="77777777">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BC2E8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Acute Flaccid Paralysis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52F56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9D0E8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13</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439EB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2CE9D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138D4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323B980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02BF8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Cholera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7B177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40974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F9926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7372E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C0C2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1BE52DEE"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44062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Congenital rubella syndrome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ADF10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05272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BB32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7ACE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51A2F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r>
      <w:tr w:rsidR="00EF1121" w14:paraId="12F26EA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1FBB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Crimean-Congo viral haemorrhagic fever (human)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609F5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CE5CF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D17A0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44040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5BB9C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121" w14:paraId="50F9922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8B6CA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Diphtheria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D361A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57B8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702D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914A4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DB528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r>
      <w:tr w:rsidR="00EF1121" w14:paraId="7E8382A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68DA3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Enteric fever (typhoid or paratyphoid fever)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87D64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34566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E2B95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EDA40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BACE2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w:t>
            </w:r>
          </w:p>
        </w:tc>
      </w:tr>
      <w:tr w:rsidR="00EF1121" w14:paraId="1BC04103"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396F9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Food borne illness outbreak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7A724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7F151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59D50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4E18B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167CD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5D98704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8AE21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Haemolytic uraemic syndrome (HUS)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0F4EB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4B803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82D7F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A3B64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93DD2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22FDD36E"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17E30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Listeriosis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C725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6AFFF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EAA5E2"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EAB24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C7470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r>
      <w:tr w:rsidR="00EF1121" w14:paraId="186FC1C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A4F9A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Malaria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0A5B9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68036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582B1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79D79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4F90B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375</w:t>
            </w:r>
          </w:p>
        </w:tc>
      </w:tr>
      <w:tr w:rsidR="00EF1121" w14:paraId="59CE029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69CE7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Measles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2205D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46F0C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90F7A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79FB0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A0970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44</w:t>
            </w:r>
          </w:p>
        </w:tc>
      </w:tr>
      <w:tr w:rsidR="00EF1121" w14:paraId="6D4622A0"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47278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Meningococcal Disease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C49F30"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1BEE4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90B46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654CAD"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3B555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5</w:t>
            </w:r>
          </w:p>
        </w:tc>
      </w:tr>
      <w:tr w:rsidR="00EF1121" w14:paraId="19ED39E6"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AB5886"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Pertussis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FE50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B1D09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9B767C"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1D603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0110C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96</w:t>
            </w:r>
          </w:p>
        </w:tc>
      </w:tr>
      <w:tr w:rsidR="00EF1121" w14:paraId="5309B69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D2E859"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Rabies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28763A"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4C450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00A244"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5DE63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54B753"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r>
      <w:tr w:rsidR="00EF1121" w14:paraId="0EC60703" w14:textId="77777777">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6AF2EC7" w14:textId="77777777" w:rsidR="00EF1121" w:rsidRDefault="00000000">
            <w:pPr>
              <w:pBdr>
                <w:top w:val="none" w:sz="0" w:space="0" w:color="000000"/>
                <w:left w:val="none" w:sz="0" w:space="0" w:color="000000"/>
                <w:bottom w:val="none" w:sz="0" w:space="0" w:color="000000"/>
                <w:right w:val="none" w:sz="0" w:space="0" w:color="000000"/>
              </w:pBdr>
              <w:spacing w:before="100" w:after="100"/>
              <w:ind w:left="300" w:right="100"/>
            </w:pPr>
            <w:r>
              <w:rPr>
                <w:rFonts w:eastAsia="Helvetica" w:hAnsi="Helvetica" w:cs="Helvetica"/>
                <w:color w:val="000000"/>
                <w:sz w:val="18"/>
                <w:szCs w:val="18"/>
              </w:rPr>
              <w:t>Rubella</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9A2534B"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12</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3625DA1"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20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FAECD38"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003AE1F"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0</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83B8765"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jc w:val="center"/>
            </w:pPr>
            <w:r>
              <w:rPr>
                <w:rFonts w:eastAsia="Helvetica" w:hAnsi="Helvetica" w:cs="Helvetica"/>
                <w:color w:val="000000"/>
                <w:sz w:val="18"/>
                <w:szCs w:val="18"/>
              </w:rPr>
              <w:t>87</w:t>
            </w:r>
          </w:p>
        </w:tc>
      </w:tr>
      <w:tr w:rsidR="00EF1121" w14:paraId="677D518F" w14:textId="77777777">
        <w:trPr>
          <w:jc w:val="center"/>
        </w:trPr>
        <w:tc>
          <w:tcPr>
            <w:tcW w:w="0" w:type="auto"/>
            <w:gridSpan w:val="6"/>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07ACCE" w14:textId="77777777" w:rsidR="00EF1121" w:rsidRDefault="00000000">
            <w:pPr>
              <w:pBdr>
                <w:top w:val="none" w:sz="0" w:space="0" w:color="000000"/>
                <w:left w:val="none" w:sz="0" w:space="0" w:color="000000"/>
                <w:bottom w:val="none" w:sz="0" w:space="0" w:color="000000"/>
                <w:right w:val="none" w:sz="0" w:space="0" w:color="000000"/>
              </w:pBdr>
              <w:spacing w:before="100" w:after="100"/>
              <w:ind w:left="100" w:right="100"/>
            </w:pPr>
            <w:r>
              <w:rPr>
                <w:rFonts w:eastAsia="Helvetica" w:hAnsi="Helvetica" w:cs="Helvetica"/>
                <w:color w:val="000000"/>
                <w:sz w:val="18"/>
                <w:szCs w:val="18"/>
                <w:vertAlign w:val="superscript"/>
              </w:rPr>
              <w:t>1</w:t>
            </w:r>
            <w:r>
              <w:rPr>
                <w:rFonts w:eastAsia="Helvetica" w:hAnsi="Helvetica" w:cs="Helvetica"/>
                <w:color w:val="000000"/>
                <w:sz w:val="18"/>
                <w:szCs w:val="18"/>
              </w:rPr>
              <w:t xml:space="preserve">A = Cases who are alive. </w:t>
            </w:r>
            <w:r>
              <w:rPr>
                <w:rFonts w:eastAsia="Helvetica" w:hAnsi="Helvetica" w:cs="Helvetica"/>
                <w:color w:val="000000"/>
                <w:sz w:val="18"/>
                <w:szCs w:val="18"/>
              </w:rPr>
              <w:br/>
              <w:t>D = Cases who are deceased.</w:t>
            </w:r>
          </w:p>
        </w:tc>
      </w:tr>
    </w:tbl>
    <w:p w14:paraId="4DAEC0B4" w14:textId="77777777" w:rsidR="00EF1121" w:rsidRDefault="00000000">
      <w:r>
        <w:br w:type="page"/>
      </w:r>
    </w:p>
    <w:p w14:paraId="4423867E" w14:textId="77777777" w:rsidR="00EF1121" w:rsidRDefault="00000000">
      <w:pPr>
        <w:pStyle w:val="BodyText"/>
      </w:pPr>
      <w:r>
        <w:rPr>
          <w:b/>
          <w:bCs/>
        </w:rPr>
        <w:lastRenderedPageBreak/>
        <w:t>END</w:t>
      </w:r>
      <w:bookmarkEnd w:id="25"/>
      <w:bookmarkEnd w:id="30"/>
    </w:p>
    <w:sectPr w:rsidR="00EF1121" w:rsidSect="003F6EF4">
      <w:headerReference w:type="first" r:id="rId12"/>
      <w:pgSz w:w="15840" w:h="12240" w:orient="landscape"/>
      <w:pgMar w:top="964" w:right="1080" w:bottom="1059" w:left="1080" w:header="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D05B" w14:textId="77777777" w:rsidR="00EE013D" w:rsidRDefault="00EE013D">
      <w:pPr>
        <w:spacing w:after="0"/>
      </w:pPr>
      <w:r>
        <w:separator/>
      </w:r>
    </w:p>
  </w:endnote>
  <w:endnote w:type="continuationSeparator" w:id="0">
    <w:p w14:paraId="2974AFA4" w14:textId="77777777" w:rsidR="00EE013D" w:rsidRDefault="00EE0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BCD9" w14:textId="77777777" w:rsidR="00EE013D" w:rsidRDefault="00EE013D">
      <w:r>
        <w:separator/>
      </w:r>
    </w:p>
  </w:footnote>
  <w:footnote w:type="continuationSeparator" w:id="0">
    <w:p w14:paraId="22FE7951" w14:textId="77777777" w:rsidR="00EE013D" w:rsidRDefault="00EE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7F13" w14:textId="77777777" w:rsidR="008E4B3E" w:rsidRDefault="00000000" w:rsidP="003A1CE4">
    <w:pPr>
      <w:pStyle w:val="Header"/>
      <w:ind w:left="-1440"/>
    </w:pPr>
    <w:r>
      <w:rPr>
        <w:noProof/>
      </w:rPr>
      <w:drawing>
        <wp:inline distT="0" distB="0" distL="0" distR="0" wp14:anchorId="2DAD99D6" wp14:editId="77F37E2E">
          <wp:extent cx="10236110" cy="1733794"/>
          <wp:effectExtent l="0" t="0" r="635" b="6350"/>
          <wp:docPr id="1210157314" name="Picture 1210157314" descr="A green rectangle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88430" name="Picture 579388430" descr="A green rectangle with a triangle&#10;&#10;Description automatically generated"/>
                  <pic:cNvPicPr>
                    <a:picLocks noChangeAspect="1" noChangeArrowheads="1"/>
                  </pic:cNvPicPr>
                </pic:nvPicPr>
                <pic:blipFill>
                  <a:blip r:embed="rId1"/>
                  <a:stretch>
                    <a:fillRect/>
                  </a:stretch>
                </pic:blipFill>
                <pic:spPr bwMode="auto">
                  <a:xfrm>
                    <a:off x="0" y="0"/>
                    <a:ext cx="10255773" cy="1737124"/>
                  </a:xfrm>
                  <a:prstGeom prst="rect">
                    <a:avLst/>
                  </a:prstGeom>
                  <a:noFill/>
                  <a:ln w="9525">
                    <a:noFill/>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7A57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DC6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CC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02A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D0C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5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2A1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4206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F4F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92CC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948B7B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BFF25B7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1CE77875"/>
    <w:multiLevelType w:val="hybridMultilevel"/>
    <w:tmpl w:val="DBF630A8"/>
    <w:lvl w:ilvl="0" w:tplc="B61AAF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0589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A582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90052C"/>
    <w:multiLevelType w:val="hybridMultilevel"/>
    <w:tmpl w:val="E7241238"/>
    <w:lvl w:ilvl="0" w:tplc="769A727E">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D1725"/>
    <w:multiLevelType w:val="hybridMultilevel"/>
    <w:tmpl w:val="3EB2BAB4"/>
    <w:lvl w:ilvl="0" w:tplc="57E44D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831774">
    <w:abstractNumId w:val="10"/>
  </w:num>
  <w:num w:numId="2" w16cid:durableId="725488214">
    <w:abstractNumId w:val="11"/>
  </w:num>
  <w:num w:numId="3" w16cid:durableId="1476025675">
    <w:abstractNumId w:val="11"/>
  </w:num>
  <w:num w:numId="4" w16cid:durableId="1177310258">
    <w:abstractNumId w:val="11"/>
  </w:num>
  <w:num w:numId="5" w16cid:durableId="428701770">
    <w:abstractNumId w:val="0"/>
  </w:num>
  <w:num w:numId="6" w16cid:durableId="841359851">
    <w:abstractNumId w:val="1"/>
  </w:num>
  <w:num w:numId="7" w16cid:durableId="278534182">
    <w:abstractNumId w:val="2"/>
  </w:num>
  <w:num w:numId="8" w16cid:durableId="1285847263">
    <w:abstractNumId w:val="3"/>
  </w:num>
  <w:num w:numId="9" w16cid:durableId="287401002">
    <w:abstractNumId w:val="8"/>
  </w:num>
  <w:num w:numId="10" w16cid:durableId="671568521">
    <w:abstractNumId w:val="4"/>
  </w:num>
  <w:num w:numId="11" w16cid:durableId="1639335196">
    <w:abstractNumId w:val="5"/>
  </w:num>
  <w:num w:numId="12" w16cid:durableId="1003632561">
    <w:abstractNumId w:val="6"/>
  </w:num>
  <w:num w:numId="13" w16cid:durableId="1955553382">
    <w:abstractNumId w:val="7"/>
  </w:num>
  <w:num w:numId="14" w16cid:durableId="970941081">
    <w:abstractNumId w:val="9"/>
  </w:num>
  <w:num w:numId="15" w16cid:durableId="470905599">
    <w:abstractNumId w:val="16"/>
  </w:num>
  <w:num w:numId="16" w16cid:durableId="1215383887">
    <w:abstractNumId w:val="12"/>
  </w:num>
  <w:num w:numId="17" w16cid:durableId="2076198096">
    <w:abstractNumId w:val="14"/>
  </w:num>
  <w:num w:numId="18" w16cid:durableId="2057974093">
    <w:abstractNumId w:val="13"/>
  </w:num>
  <w:num w:numId="19" w16cid:durableId="1728650574">
    <w:abstractNumId w:val="10"/>
  </w:num>
  <w:num w:numId="20" w16cid:durableId="1243879558">
    <w:abstractNumId w:val="11"/>
  </w:num>
  <w:num w:numId="21" w16cid:durableId="1587420563">
    <w:abstractNumId w:val="11"/>
  </w:num>
  <w:num w:numId="22" w16cid:durableId="895773298">
    <w:abstractNumId w:val="11"/>
  </w:num>
  <w:num w:numId="23" w16cid:durableId="127094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21"/>
    <w:rsid w:val="000120A5"/>
    <w:rsid w:val="00126954"/>
    <w:rsid w:val="001639BB"/>
    <w:rsid w:val="003F4F49"/>
    <w:rsid w:val="003F6EF4"/>
    <w:rsid w:val="004F758A"/>
    <w:rsid w:val="007B2477"/>
    <w:rsid w:val="00846010"/>
    <w:rsid w:val="008E4B3E"/>
    <w:rsid w:val="00945971"/>
    <w:rsid w:val="009870F2"/>
    <w:rsid w:val="00AE3838"/>
    <w:rsid w:val="00BA38F4"/>
    <w:rsid w:val="00DF0849"/>
    <w:rsid w:val="00EE013D"/>
    <w:rsid w:val="00EF1121"/>
    <w:rsid w:val="00EF18AE"/>
    <w:rsid w:val="00F05641"/>
    <w:rsid w:val="00F81F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04682"/>
  <w15:docId w15:val="{6DF1EFF8-C00F-2243-88CE-7125B73C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354"/>
    <w:rPr>
      <w:rFonts w:ascii="Century Gothic" w:hAnsi="Century Gothic"/>
      <w:sz w:val="20"/>
    </w:rPr>
  </w:style>
  <w:style w:type="paragraph" w:styleId="Heading1">
    <w:name w:val="heading 1"/>
    <w:basedOn w:val="Normal"/>
    <w:next w:val="BodyText"/>
    <w:uiPriority w:val="9"/>
    <w:qFormat/>
    <w:rsid w:val="002F09EF"/>
    <w:pPr>
      <w:keepNext/>
      <w:keepLines/>
      <w:spacing w:before="480" w:after="0"/>
      <w:outlineLvl w:val="0"/>
    </w:pPr>
    <w:rPr>
      <w:rFonts w:eastAsiaTheme="majorEastAsia" w:cstheme="majorBidi"/>
      <w:b/>
      <w:bCs/>
      <w:color w:val="000000" w:themeColor="text1"/>
    </w:rPr>
  </w:style>
  <w:style w:type="paragraph" w:styleId="Heading2">
    <w:name w:val="heading 2"/>
    <w:basedOn w:val="Heading1"/>
    <w:next w:val="BodyText"/>
    <w:uiPriority w:val="9"/>
    <w:unhideWhenUsed/>
    <w:qFormat/>
    <w:rsid w:val="00273EF4"/>
    <w:pPr>
      <w:outlineLvl w:val="1"/>
    </w:pPr>
  </w:style>
  <w:style w:type="paragraph" w:styleId="Heading3">
    <w:name w:val="heading 3"/>
    <w:basedOn w:val="Heading2"/>
    <w:next w:val="BodyText"/>
    <w:uiPriority w:val="9"/>
    <w:unhideWhenUsed/>
    <w:qFormat/>
    <w:rsid w:val="00273EF4"/>
    <w:pPr>
      <w:outlineLvl w:val="2"/>
    </w:pPr>
  </w:style>
  <w:style w:type="paragraph" w:styleId="Heading4">
    <w:name w:val="heading 4"/>
    <w:basedOn w:val="Heading3"/>
    <w:next w:val="BodyText"/>
    <w:uiPriority w:val="9"/>
    <w:unhideWhenUsed/>
    <w:qFormat/>
    <w:rsid w:val="00273EF4"/>
    <w:pPr>
      <w:outlineLvl w:val="3"/>
    </w:p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09EF"/>
    <w:pPr>
      <w:spacing w:before="180" w:after="180"/>
    </w:pPr>
  </w:style>
  <w:style w:type="paragraph" w:customStyle="1" w:styleId="FirstParagraph">
    <w:name w:val="First Paragraph"/>
    <w:basedOn w:val="BodyText"/>
    <w:next w:val="BodyText"/>
    <w:qFormat/>
    <w:rsid w:val="002F09EF"/>
  </w:style>
  <w:style w:type="paragraph" w:customStyle="1" w:styleId="Compact">
    <w:name w:val="Compact"/>
    <w:basedOn w:val="BodyText"/>
    <w:qFormat/>
    <w:pPr>
      <w:spacing w:before="36" w:after="36"/>
    </w:pPr>
  </w:style>
  <w:style w:type="paragraph" w:styleId="Title">
    <w:name w:val="Title"/>
    <w:basedOn w:val="Normal"/>
    <w:next w:val="BodyText"/>
    <w:qFormat/>
    <w:rsid w:val="00784D76"/>
    <w:pPr>
      <w:keepNext/>
      <w:keepLines/>
      <w:spacing w:after="240"/>
      <w:ind w:left="-2268" w:right="-2268"/>
      <w:jc w:val="center"/>
    </w:pPr>
    <w:rPr>
      <w:rFonts w:eastAsiaTheme="majorEastAsia" w:cstheme="majorBidi"/>
      <w:b/>
      <w:bCs/>
      <w:color w:val="9BBB59" w:themeColor="accent3"/>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2F09EF"/>
    <w:pPr>
      <w:keepNext/>
      <w:keepLines/>
      <w:jc w:val="center"/>
    </w:pPr>
    <w:rPr>
      <w:rFonts w:ascii="Century Gothic" w:hAnsi="Century Gothic"/>
    </w:r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Cs w:val="20"/>
    </w:rPr>
  </w:style>
  <w:style w:type="paragraph" w:customStyle="1" w:styleId="Abstract">
    <w:name w:val="Abstract"/>
    <w:basedOn w:val="Normal"/>
    <w:next w:val="BodyText"/>
    <w:qFormat/>
    <w:pPr>
      <w:keepNext/>
      <w:keepLines/>
      <w:spacing w:before="1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2F09EF"/>
    <w:pPr>
      <w:keepNext/>
    </w:pPr>
    <w:rPr>
      <w:sz w:val="14"/>
    </w:rPr>
  </w:style>
  <w:style w:type="paragraph" w:customStyle="1" w:styleId="ImageCaption">
    <w:name w:val="Image Caption"/>
    <w:basedOn w:val="Caption"/>
    <w:rsid w:val="002F09EF"/>
    <w:rPr>
      <w:sz w:val="14"/>
    </w:rPr>
  </w:style>
  <w:style w:type="paragraph" w:customStyle="1" w:styleId="Figure">
    <w:name w:val="Figure"/>
    <w:basedOn w:val="Normal"/>
  </w:style>
  <w:style w:type="paragraph" w:customStyle="1" w:styleId="CaptionedFigure">
    <w:name w:val="Captioned Figure"/>
    <w:basedOn w:val="Figure"/>
    <w:rsid w:val="00813354"/>
    <w:pPr>
      <w:keepNext/>
    </w:pPr>
  </w:style>
  <w:style w:type="character" w:customStyle="1" w:styleId="CaptionChar">
    <w:name w:val="Caption Char"/>
    <w:basedOn w:val="DefaultParagraphFont"/>
    <w:link w:val="Caption"/>
    <w:rPr>
      <w:rFonts w:ascii="Century Gothic" w:hAnsi="Century Gothic"/>
      <w:sz w:val="20"/>
    </w:rPr>
  </w:style>
  <w:style w:type="character" w:customStyle="1" w:styleId="VerbatimChar">
    <w:name w:val="Verbatim Char"/>
    <w:basedOn w:val="CaptionChar"/>
    <w:link w:val="SourceCode"/>
    <w:rPr>
      <w:rFonts w:ascii="Consolas" w:hAnsi="Consolas"/>
      <w:sz w:val="22"/>
    </w:rPr>
  </w:style>
  <w:style w:type="paragraph" w:styleId="Header">
    <w:name w:val="header"/>
    <w:basedOn w:val="Normal"/>
    <w:link w:val="HeaderChar"/>
    <w:rsid w:val="003A1CE4"/>
    <w:pPr>
      <w:tabs>
        <w:tab w:val="center" w:pos="4513"/>
        <w:tab w:val="right" w:pos="9026"/>
      </w:tabs>
      <w:spacing w:after="0"/>
    </w:pPr>
  </w:style>
  <w:style w:type="character" w:styleId="FootnoteReference">
    <w:name w:val="footnote reference"/>
    <w:basedOn w:val="CaptionChar"/>
    <w:rPr>
      <w:rFonts w:ascii="Century Gothic" w:hAnsi="Century Gothic"/>
      <w:sz w:val="20"/>
      <w:vertAlign w:val="superscript"/>
    </w:rPr>
  </w:style>
  <w:style w:type="character" w:styleId="Hyperlink">
    <w:name w:val="Hyperlink"/>
    <w:basedOn w:val="CaptionChar"/>
    <w:uiPriority w:val="99"/>
    <w:rPr>
      <w:rFonts w:ascii="Century Gothic" w:hAnsi="Century Gothic"/>
      <w:color w:val="4F81BD" w:themeColor="accent1"/>
      <w:sz w:val="20"/>
    </w:rPr>
  </w:style>
  <w:style w:type="paragraph" w:styleId="TOCHeading">
    <w:name w:val="TOC Heading"/>
    <w:basedOn w:val="Heading1"/>
    <w:next w:val="BodyText"/>
    <w:uiPriority w:val="39"/>
    <w:unhideWhenUsed/>
    <w:qFormat/>
    <w:rsid w:val="002F09EF"/>
    <w:pPr>
      <w:spacing w:before="240" w:line="259" w:lineRule="auto"/>
      <w:outlineLvl w:val="9"/>
    </w:pPr>
    <w:rPr>
      <w:szCs w:val="2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Normal"/>
    <w:next w:val="Normal"/>
    <w:autoRedefine/>
    <w:uiPriority w:val="39"/>
    <w:rsid w:val="002F09EF"/>
    <w:pPr>
      <w:spacing w:after="100"/>
    </w:pPr>
  </w:style>
  <w:style w:type="paragraph" w:styleId="TOC2">
    <w:name w:val="toc 2"/>
    <w:basedOn w:val="Normal"/>
    <w:next w:val="Normal"/>
    <w:autoRedefine/>
    <w:uiPriority w:val="39"/>
    <w:rsid w:val="002F09EF"/>
    <w:pPr>
      <w:spacing w:after="100"/>
      <w:ind w:left="240"/>
    </w:pPr>
  </w:style>
  <w:style w:type="paragraph" w:styleId="TOC3">
    <w:name w:val="toc 3"/>
    <w:basedOn w:val="Normal"/>
    <w:next w:val="Normal"/>
    <w:autoRedefine/>
    <w:uiPriority w:val="39"/>
    <w:rsid w:val="002F09EF"/>
    <w:pPr>
      <w:spacing w:after="100"/>
      <w:ind w:left="480"/>
    </w:pPr>
  </w:style>
  <w:style w:type="character" w:customStyle="1" w:styleId="HeaderChar">
    <w:name w:val="Header Char"/>
    <w:basedOn w:val="DefaultParagraphFont"/>
    <w:link w:val="Header"/>
    <w:rsid w:val="003A1CE4"/>
    <w:rPr>
      <w:rFonts w:ascii="Century Gothic" w:hAnsi="Century Gothic"/>
      <w:sz w:val="20"/>
    </w:rPr>
  </w:style>
  <w:style w:type="character" w:customStyle="1" w:styleId="BodyTextChar">
    <w:name w:val="Body Text Char"/>
    <w:basedOn w:val="DefaultParagraphFont"/>
    <w:link w:val="BodyText"/>
    <w:rsid w:val="002F09EF"/>
    <w:rPr>
      <w:rFonts w:ascii="Century Gothic" w:hAnsi="Century Gothic"/>
      <w:sz w:val="20"/>
    </w:rPr>
  </w:style>
  <w:style w:type="paragraph" w:styleId="Footer">
    <w:name w:val="footer"/>
    <w:basedOn w:val="Normal"/>
    <w:link w:val="FooterChar"/>
    <w:rsid w:val="003A1CE4"/>
    <w:pPr>
      <w:tabs>
        <w:tab w:val="center" w:pos="4513"/>
        <w:tab w:val="right" w:pos="9026"/>
      </w:tabs>
      <w:spacing w:after="0"/>
    </w:pPr>
  </w:style>
  <w:style w:type="character" w:customStyle="1" w:styleId="FooterChar">
    <w:name w:val="Footer Char"/>
    <w:basedOn w:val="DefaultParagraphFont"/>
    <w:link w:val="Footer"/>
    <w:rsid w:val="003A1CE4"/>
    <w:rPr>
      <w:rFonts w:ascii="Century Gothic" w:hAnsi="Century Gothic"/>
      <w:sz w:val="20"/>
    </w:rPr>
  </w:style>
  <w:style w:type="numbering" w:customStyle="1" w:styleId="CurrentList1">
    <w:name w:val="Current List1"/>
    <w:uiPriority w:val="99"/>
    <w:rsid w:val="00563E2D"/>
    <w:pPr>
      <w:numPr>
        <w:numId w:val="17"/>
      </w:numPr>
    </w:pPr>
  </w:style>
  <w:style w:type="numbering" w:customStyle="1" w:styleId="CurrentList2">
    <w:name w:val="Current List2"/>
    <w:uiPriority w:val="99"/>
    <w:rsid w:val="00563E2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brianbrummer/Desktop/SAFETP/CLA/23.NMC_reporting_clean/www.nmc.nicd.ac.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brianbrummer/Desktop/SAFETP/CLA/23.NMC_reporting_clean/excel_users/us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Century Gothic" panose="020B0502020202020204" pitchFamily="34" charset="0"/>
                <a:ea typeface="+mn-ea"/>
                <a:cs typeface="+mn-cs"/>
              </a:defRPr>
            </a:pPr>
            <a:r>
              <a:rPr lang="en-US"/>
              <a:t>Authorised users and average active users of the NMC Reporting App by month of notification, December 2020-June 2023</a:t>
            </a:r>
            <a:endParaRPr lang="en-ZA"/>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Century Gothic" panose="020B0502020202020204" pitchFamily="34" charset="0"/>
              <a:ea typeface="+mn-ea"/>
              <a:cs typeface="+mn-cs"/>
            </a:defRPr>
          </a:pPr>
          <a:endParaRPr lang="en-US"/>
        </a:p>
      </c:txPr>
    </c:title>
    <c:autoTitleDeleted val="0"/>
    <c:plotArea>
      <c:layout/>
      <c:barChart>
        <c:barDir val="col"/>
        <c:grouping val="clustered"/>
        <c:varyColors val="0"/>
        <c:ser>
          <c:idx val="0"/>
          <c:order val="0"/>
          <c:tx>
            <c:strRef>
              <c:f>Users!$P$33</c:f>
              <c:strCache>
                <c:ptCount val="1"/>
                <c:pt idx="0">
                  <c:v>Average active users</c:v>
                </c:pt>
              </c:strCache>
            </c:strRef>
          </c:tx>
          <c:spPr>
            <a:solidFill>
              <a:schemeClr val="accent6">
                <a:lumMod val="75000"/>
              </a:schemeClr>
            </a:solidFill>
            <a:ln>
              <a:solidFill>
                <a:schemeClr val="accent6">
                  <a:lumMod val="75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Users!$N$36:$O$70</c:f>
              <c:multiLvlStrCache>
                <c:ptCount val="35"/>
                <c:lvl>
                  <c:pt idx="0">
                    <c:v>Dec</c:v>
                  </c:pt>
                  <c:pt idx="1">
                    <c:v>Jan</c:v>
                  </c:pt>
                  <c:pt idx="2">
                    <c:v>Feb</c:v>
                  </c:pt>
                  <c:pt idx="3">
                    <c:v>Mar</c:v>
                  </c:pt>
                  <c:pt idx="4">
                    <c:v>Apr</c:v>
                  </c:pt>
                  <c:pt idx="5">
                    <c:v>May</c:v>
                  </c:pt>
                  <c:pt idx="6">
                    <c:v>Jun</c:v>
                  </c:pt>
                  <c:pt idx="7">
                    <c:v>Jul</c:v>
                  </c:pt>
                  <c:pt idx="8">
                    <c:v>Aug</c:v>
                  </c:pt>
                  <c:pt idx="9">
                    <c:v>Sep</c:v>
                  </c:pt>
                  <c:pt idx="10">
                    <c:v>Oct</c:v>
                  </c:pt>
                  <c:pt idx="11">
                    <c:v>Nov</c:v>
                  </c:pt>
                  <c:pt idx="12">
                    <c:v>Dec</c:v>
                  </c:pt>
                  <c:pt idx="13">
                    <c:v>Jan</c:v>
                  </c:pt>
                  <c:pt idx="14">
                    <c:v>Feb</c:v>
                  </c:pt>
                  <c:pt idx="15">
                    <c:v>Mar</c:v>
                  </c:pt>
                  <c:pt idx="16">
                    <c:v>Apr</c:v>
                  </c:pt>
                  <c:pt idx="17">
                    <c:v>May</c:v>
                  </c:pt>
                  <c:pt idx="18">
                    <c:v>Jun</c:v>
                  </c:pt>
                  <c:pt idx="19">
                    <c:v>Jul</c:v>
                  </c:pt>
                  <c:pt idx="20">
                    <c:v>Aug</c:v>
                  </c:pt>
                  <c:pt idx="21">
                    <c:v>Sep</c:v>
                  </c:pt>
                  <c:pt idx="22">
                    <c:v>Oct</c:v>
                  </c:pt>
                  <c:pt idx="23">
                    <c:v>Nov</c:v>
                  </c:pt>
                  <c:pt idx="24">
                    <c:v>Dec</c:v>
                  </c:pt>
                  <c:pt idx="25">
                    <c:v>Jan </c:v>
                  </c:pt>
                  <c:pt idx="26">
                    <c:v>Feb</c:v>
                  </c:pt>
                  <c:pt idx="27">
                    <c:v>Mar</c:v>
                  </c:pt>
                  <c:pt idx="28">
                    <c:v>Apr</c:v>
                  </c:pt>
                  <c:pt idx="29">
                    <c:v>May</c:v>
                  </c:pt>
                  <c:pt idx="30">
                    <c:v>Jun</c:v>
                  </c:pt>
                  <c:pt idx="31">
                    <c:v>Jul</c:v>
                  </c:pt>
                  <c:pt idx="32">
                    <c:v>Aug</c:v>
                  </c:pt>
                  <c:pt idx="33">
                    <c:v>Sep</c:v>
                  </c:pt>
                  <c:pt idx="34">
                    <c:v>Oct</c:v>
                  </c:pt>
                </c:lvl>
                <c:lvl>
                  <c:pt idx="1">
                    <c:v>2021</c:v>
                  </c:pt>
                  <c:pt idx="13">
                    <c:v>2022</c:v>
                  </c:pt>
                  <c:pt idx="25">
                    <c:v>2023</c:v>
                  </c:pt>
                </c:lvl>
              </c:multiLvlStrCache>
              <c:extLst/>
            </c:multiLvlStrRef>
          </c:cat>
          <c:val>
            <c:numRef>
              <c:f>Users!$P$36:$P$70</c:f>
              <c:numCache>
                <c:formatCode>General</c:formatCode>
                <c:ptCount val="35"/>
                <c:pt idx="0">
                  <c:v>9</c:v>
                </c:pt>
                <c:pt idx="1">
                  <c:v>19</c:v>
                </c:pt>
                <c:pt idx="2">
                  <c:v>39</c:v>
                </c:pt>
                <c:pt idx="3">
                  <c:v>57</c:v>
                </c:pt>
                <c:pt idx="4">
                  <c:v>86</c:v>
                </c:pt>
                <c:pt idx="5">
                  <c:v>128</c:v>
                </c:pt>
                <c:pt idx="6">
                  <c:v>195</c:v>
                </c:pt>
                <c:pt idx="7">
                  <c:v>248</c:v>
                </c:pt>
                <c:pt idx="8">
                  <c:v>266</c:v>
                </c:pt>
                <c:pt idx="9">
                  <c:v>236</c:v>
                </c:pt>
                <c:pt idx="10">
                  <c:v>154</c:v>
                </c:pt>
                <c:pt idx="11">
                  <c:v>156</c:v>
                </c:pt>
                <c:pt idx="12">
                  <c:v>315</c:v>
                </c:pt>
                <c:pt idx="13">
                  <c:v>259</c:v>
                </c:pt>
                <c:pt idx="14">
                  <c:v>247</c:v>
                </c:pt>
                <c:pt idx="15">
                  <c:v>214</c:v>
                </c:pt>
                <c:pt idx="16">
                  <c:v>200</c:v>
                </c:pt>
                <c:pt idx="17">
                  <c:v>325</c:v>
                </c:pt>
                <c:pt idx="18">
                  <c:v>279</c:v>
                </c:pt>
                <c:pt idx="19">
                  <c:v>289</c:v>
                </c:pt>
                <c:pt idx="20">
                  <c:v>312</c:v>
                </c:pt>
                <c:pt idx="21">
                  <c:v>322</c:v>
                </c:pt>
                <c:pt idx="22">
                  <c:v>311</c:v>
                </c:pt>
                <c:pt idx="23">
                  <c:v>374</c:v>
                </c:pt>
                <c:pt idx="24">
                  <c:v>214</c:v>
                </c:pt>
                <c:pt idx="25">
                  <c:v>289</c:v>
                </c:pt>
                <c:pt idx="26">
                  <c:v>336</c:v>
                </c:pt>
                <c:pt idx="27">
                  <c:v>371</c:v>
                </c:pt>
                <c:pt idx="28">
                  <c:v>303</c:v>
                </c:pt>
                <c:pt idx="29">
                  <c:v>402</c:v>
                </c:pt>
                <c:pt idx="30">
                  <c:v>404</c:v>
                </c:pt>
                <c:pt idx="31">
                  <c:v>338</c:v>
                </c:pt>
                <c:pt idx="32">
                  <c:v>397</c:v>
                </c:pt>
                <c:pt idx="33">
                  <c:v>396</c:v>
                </c:pt>
                <c:pt idx="34">
                  <c:v>439</c:v>
                </c:pt>
              </c:numCache>
              <c:extLst/>
            </c:numRef>
          </c:val>
          <c:extLst>
            <c:ext xmlns:c16="http://schemas.microsoft.com/office/drawing/2014/chart" uri="{C3380CC4-5D6E-409C-BE32-E72D297353CC}">
              <c16:uniqueId val="{00000000-0E0F-4143-86FF-EB1790068CAB}"/>
            </c:ext>
          </c:extLst>
        </c:ser>
        <c:dLbls>
          <c:showLegendKey val="0"/>
          <c:showVal val="0"/>
          <c:showCatName val="0"/>
          <c:showSerName val="0"/>
          <c:showPercent val="0"/>
          <c:showBubbleSize val="0"/>
        </c:dLbls>
        <c:gapWidth val="150"/>
        <c:axId val="793196383"/>
        <c:axId val="793196799"/>
      </c:barChart>
      <c:lineChart>
        <c:grouping val="standard"/>
        <c:varyColors val="0"/>
        <c:ser>
          <c:idx val="1"/>
          <c:order val="1"/>
          <c:tx>
            <c:strRef>
              <c:f>Users!$Q$33</c:f>
              <c:strCache>
                <c:ptCount val="1"/>
                <c:pt idx="0">
                  <c:v>Authorised users</c:v>
                </c:pt>
              </c:strCache>
            </c:strRef>
          </c:tx>
          <c:spPr>
            <a:ln w="28575" cap="rnd">
              <a:solidFill>
                <a:srgbClr val="0070C0"/>
              </a:solidFill>
              <a:round/>
            </a:ln>
            <a:effectLst/>
          </c:spPr>
          <c:marker>
            <c:symbol val="none"/>
          </c:marker>
          <c:cat>
            <c:multiLvlStrRef>
              <c:f>Users!$N$36:$O$70</c:f>
              <c:multiLvlStrCache>
                <c:ptCount val="35"/>
                <c:lvl>
                  <c:pt idx="0">
                    <c:v>Dec</c:v>
                  </c:pt>
                  <c:pt idx="1">
                    <c:v>Jan</c:v>
                  </c:pt>
                  <c:pt idx="2">
                    <c:v>Feb</c:v>
                  </c:pt>
                  <c:pt idx="3">
                    <c:v>Mar</c:v>
                  </c:pt>
                  <c:pt idx="4">
                    <c:v>Apr</c:v>
                  </c:pt>
                  <c:pt idx="5">
                    <c:v>May</c:v>
                  </c:pt>
                  <c:pt idx="6">
                    <c:v>Jun</c:v>
                  </c:pt>
                  <c:pt idx="7">
                    <c:v>Jul</c:v>
                  </c:pt>
                  <c:pt idx="8">
                    <c:v>Aug</c:v>
                  </c:pt>
                  <c:pt idx="9">
                    <c:v>Sep</c:v>
                  </c:pt>
                  <c:pt idx="10">
                    <c:v>Oct</c:v>
                  </c:pt>
                  <c:pt idx="11">
                    <c:v>Nov</c:v>
                  </c:pt>
                  <c:pt idx="12">
                    <c:v>Dec</c:v>
                  </c:pt>
                  <c:pt idx="13">
                    <c:v>Jan</c:v>
                  </c:pt>
                  <c:pt idx="14">
                    <c:v>Feb</c:v>
                  </c:pt>
                  <c:pt idx="15">
                    <c:v>Mar</c:v>
                  </c:pt>
                  <c:pt idx="16">
                    <c:v>Apr</c:v>
                  </c:pt>
                  <c:pt idx="17">
                    <c:v>May</c:v>
                  </c:pt>
                  <c:pt idx="18">
                    <c:v>Jun</c:v>
                  </c:pt>
                  <c:pt idx="19">
                    <c:v>Jul</c:v>
                  </c:pt>
                  <c:pt idx="20">
                    <c:v>Aug</c:v>
                  </c:pt>
                  <c:pt idx="21">
                    <c:v>Sep</c:v>
                  </c:pt>
                  <c:pt idx="22">
                    <c:v>Oct</c:v>
                  </c:pt>
                  <c:pt idx="23">
                    <c:v>Nov</c:v>
                  </c:pt>
                  <c:pt idx="24">
                    <c:v>Dec</c:v>
                  </c:pt>
                  <c:pt idx="25">
                    <c:v>Jan </c:v>
                  </c:pt>
                  <c:pt idx="26">
                    <c:v>Feb</c:v>
                  </c:pt>
                  <c:pt idx="27">
                    <c:v>Mar</c:v>
                  </c:pt>
                  <c:pt idx="28">
                    <c:v>Apr</c:v>
                  </c:pt>
                  <c:pt idx="29">
                    <c:v>May</c:v>
                  </c:pt>
                  <c:pt idx="30">
                    <c:v>Jun</c:v>
                  </c:pt>
                  <c:pt idx="31">
                    <c:v>Jul</c:v>
                  </c:pt>
                  <c:pt idx="32">
                    <c:v>Aug</c:v>
                  </c:pt>
                  <c:pt idx="33">
                    <c:v>Sep</c:v>
                  </c:pt>
                  <c:pt idx="34">
                    <c:v>Oct</c:v>
                  </c:pt>
                </c:lvl>
                <c:lvl>
                  <c:pt idx="1">
                    <c:v>2021</c:v>
                  </c:pt>
                  <c:pt idx="13">
                    <c:v>2022</c:v>
                  </c:pt>
                  <c:pt idx="25">
                    <c:v>2023</c:v>
                  </c:pt>
                </c:lvl>
              </c:multiLvlStrCache>
              <c:extLst/>
            </c:multiLvlStrRef>
          </c:cat>
          <c:val>
            <c:numRef>
              <c:f>Users!$Q$36:$Q$70</c:f>
              <c:numCache>
                <c:formatCode>General</c:formatCode>
                <c:ptCount val="35"/>
                <c:pt idx="0">
                  <c:v>16</c:v>
                </c:pt>
                <c:pt idx="1">
                  <c:v>72</c:v>
                </c:pt>
                <c:pt idx="2">
                  <c:v>134</c:v>
                </c:pt>
                <c:pt idx="3">
                  <c:v>179</c:v>
                </c:pt>
                <c:pt idx="4">
                  <c:v>561</c:v>
                </c:pt>
                <c:pt idx="5">
                  <c:v>385</c:v>
                </c:pt>
                <c:pt idx="6">
                  <c:v>508</c:v>
                </c:pt>
                <c:pt idx="7">
                  <c:v>416</c:v>
                </c:pt>
                <c:pt idx="8">
                  <c:v>488</c:v>
                </c:pt>
                <c:pt idx="9">
                  <c:v>531</c:v>
                </c:pt>
                <c:pt idx="10">
                  <c:v>293</c:v>
                </c:pt>
                <c:pt idx="11">
                  <c:v>389</c:v>
                </c:pt>
                <c:pt idx="12">
                  <c:v>539</c:v>
                </c:pt>
                <c:pt idx="13">
                  <c:v>406</c:v>
                </c:pt>
                <c:pt idx="14">
                  <c:v>652</c:v>
                </c:pt>
                <c:pt idx="15">
                  <c:v>428</c:v>
                </c:pt>
                <c:pt idx="16">
                  <c:v>468</c:v>
                </c:pt>
                <c:pt idx="17">
                  <c:v>747</c:v>
                </c:pt>
                <c:pt idx="18">
                  <c:v>988</c:v>
                </c:pt>
                <c:pt idx="19">
                  <c:v>1075</c:v>
                </c:pt>
                <c:pt idx="20">
                  <c:v>1186</c:v>
                </c:pt>
                <c:pt idx="21">
                  <c:v>963</c:v>
                </c:pt>
                <c:pt idx="22">
                  <c:v>994</c:v>
                </c:pt>
                <c:pt idx="23">
                  <c:v>974</c:v>
                </c:pt>
                <c:pt idx="24">
                  <c:v>249</c:v>
                </c:pt>
                <c:pt idx="25">
                  <c:v>581</c:v>
                </c:pt>
                <c:pt idx="26">
                  <c:v>722</c:v>
                </c:pt>
                <c:pt idx="27">
                  <c:v>1061</c:v>
                </c:pt>
                <c:pt idx="28">
                  <c:v>839</c:v>
                </c:pt>
                <c:pt idx="29">
                  <c:v>878</c:v>
                </c:pt>
                <c:pt idx="30">
                  <c:v>974</c:v>
                </c:pt>
                <c:pt idx="31">
                  <c:v>657</c:v>
                </c:pt>
                <c:pt idx="32">
                  <c:v>908</c:v>
                </c:pt>
                <c:pt idx="33">
                  <c:v>679</c:v>
                </c:pt>
                <c:pt idx="34">
                  <c:v>810</c:v>
                </c:pt>
              </c:numCache>
              <c:extLst/>
            </c:numRef>
          </c:val>
          <c:smooth val="0"/>
          <c:extLst>
            <c:ext xmlns:c16="http://schemas.microsoft.com/office/drawing/2014/chart" uri="{C3380CC4-5D6E-409C-BE32-E72D297353CC}">
              <c16:uniqueId val="{00000001-0E0F-4143-86FF-EB1790068CAB}"/>
            </c:ext>
          </c:extLst>
        </c:ser>
        <c:dLbls>
          <c:showLegendKey val="0"/>
          <c:showVal val="0"/>
          <c:showCatName val="0"/>
          <c:showSerName val="0"/>
          <c:showPercent val="0"/>
          <c:showBubbleSize val="0"/>
        </c:dLbls>
        <c:marker val="1"/>
        <c:smooth val="0"/>
        <c:axId val="793196383"/>
        <c:axId val="793196799"/>
      </c:lineChart>
      <c:catAx>
        <c:axId val="7931963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r>
                  <a:rPr lang="en-US"/>
                  <a:t>Month of notification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793196799"/>
        <c:crosses val="autoZero"/>
        <c:auto val="1"/>
        <c:lblAlgn val="ctr"/>
        <c:lblOffset val="100"/>
        <c:noMultiLvlLbl val="0"/>
      </c:catAx>
      <c:valAx>
        <c:axId val="7931967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r>
                  <a:rPr lang="en-US"/>
                  <a:t>Users (No.)</a:t>
                </a:r>
              </a:p>
            </c:rich>
          </c:tx>
          <c:layout>
            <c:manualLayout>
              <c:xMode val="edge"/>
              <c:yMode val="edge"/>
              <c:x val="1.4398848092152628E-2"/>
              <c:y val="0.319069340470372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793196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entury Gothic" panose="020B0502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28</TotalTime>
  <Pages>19</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NOTIFIABLE MEDICAL CONDITIONS SURVEILLANCE SYSTEM</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MEDICAL CONDITIONS SURVEILLANCE SYSTEM</dc:title>
  <dc:creator>the National Institute for Communicable Diseases</dc:creator>
  <cp:keywords/>
  <cp:lastModifiedBy>Brian Brummer</cp:lastModifiedBy>
  <cp:revision>5</cp:revision>
  <dcterms:created xsi:type="dcterms:W3CDTF">2023-11-29T06:59:00Z</dcterms:created>
  <dcterms:modified xsi:type="dcterms:W3CDTF">2023-11-29T08:37:00Z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False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eqLabels">
    <vt:lpwstr>arabic</vt:lpwstr>
  </property>
  <property fmtid="{D5CDD505-2E9C-101B-9397-08002B2CF9AE}" pid="14" name="eqnBlockInlineMath">
    <vt:lpwstr>False</vt:lpwstr>
  </property>
  <property fmtid="{D5CDD505-2E9C-101B-9397-08002B2CF9AE}" pid="15" name="eqnBlockTemplate">
    <vt:lpwstr>ti</vt:lpwstr>
  </property>
  <property fmtid="{D5CDD505-2E9C-101B-9397-08002B2CF9AE}" pid="16" name="eqnIndexTemplate">
    <vt:lpwstr>(i)</vt:lpwstr>
  </property>
  <property fmtid="{D5CDD505-2E9C-101B-9397-08002B2CF9AE}" pid="17" name="eqnInlineTemplate">
    <vt:lpwstr>eequationNumberTeX{i}</vt:lpwstr>
  </property>
  <property fmtid="{D5CDD505-2E9C-101B-9397-08002B2CF9AE}" pid="18" name="eqnPrefix">
    <vt:lpwstr/>
  </property>
  <property fmtid="{D5CDD505-2E9C-101B-9397-08002B2CF9AE}" pid="19" name="eqnPrefixTemplate">
    <vt:lpwstr>p i</vt:lpwstr>
  </property>
  <property fmtid="{D5CDD505-2E9C-101B-9397-08002B2CF9AE}" pid="20" name="equationNumberTeX">
    <vt:lpwstr>\qquad</vt:lpwstr>
  </property>
  <property fmtid="{D5CDD505-2E9C-101B-9397-08002B2CF9AE}" pid="21" name="figLabels">
    <vt:lpwstr>arabic</vt:lpwstr>
  </property>
  <property fmtid="{D5CDD505-2E9C-101B-9397-08002B2CF9AE}" pid="22" name="figPrefix">
    <vt:lpwstr/>
  </property>
  <property fmtid="{D5CDD505-2E9C-101B-9397-08002B2CF9AE}" pid="23" name="figPrefixTemplate">
    <vt:lpwstr>p i</vt:lpwstr>
  </property>
  <property fmtid="{D5CDD505-2E9C-101B-9397-08002B2CF9AE}" pid="24" name="figureTemplate">
    <vt:lpwstr>figureTitle ititleDelim t</vt:lpwstr>
  </property>
  <property fmtid="{D5CDD505-2E9C-101B-9397-08002B2CF9AE}" pid="25" name="figureTitle">
    <vt:lpwstr>Figure</vt:lpwstr>
  </property>
  <property fmtid="{D5CDD505-2E9C-101B-9397-08002B2CF9AE}" pid="26" name="lastDelim">
    <vt:lpwstr>, </vt:lpwstr>
  </property>
  <property fmtid="{D5CDD505-2E9C-101B-9397-08002B2CF9AE}" pid="27" name="linkReferences">
    <vt:lpwstr>False</vt:lpwstr>
  </property>
  <property fmtid="{D5CDD505-2E9C-101B-9397-08002B2CF9AE}" pid="28" name="listItemTitleDelim">
    <vt:lpwstr>.</vt:lpwstr>
  </property>
  <property fmtid="{D5CDD505-2E9C-101B-9397-08002B2CF9AE}" pid="29" name="listingTemplate">
    <vt:lpwstr>listingTitle ititleDelim t</vt:lpwstr>
  </property>
  <property fmtid="{D5CDD505-2E9C-101B-9397-08002B2CF9AE}" pid="30" name="listingTitle">
    <vt:lpwstr>Listing</vt:lpwstr>
  </property>
  <property fmtid="{D5CDD505-2E9C-101B-9397-08002B2CF9AE}" pid="31" name="listings">
    <vt:lpwstr>False</vt:lpwstr>
  </property>
  <property fmtid="{D5CDD505-2E9C-101B-9397-08002B2CF9AE}" pid="32" name="lofItemTemplate">
    <vt:lpwstr>lofItemTitleilistItemTitleDelimt </vt:lpwstr>
  </property>
  <property fmtid="{D5CDD505-2E9C-101B-9397-08002B2CF9AE}" pid="33" name="lofItemTitle">
    <vt:lpwstr/>
  </property>
  <property fmtid="{D5CDD505-2E9C-101B-9397-08002B2CF9AE}" pid="34" name="lofTitle">
    <vt:lpwstr>List of Figures</vt:lpwstr>
  </property>
  <property fmtid="{D5CDD505-2E9C-101B-9397-08002B2CF9AE}" pid="35" name="lolItemTemplate">
    <vt:lpwstr>lolItemTitleilistItemTitleDelimt </vt:lpwstr>
  </property>
  <property fmtid="{D5CDD505-2E9C-101B-9397-08002B2CF9AE}" pid="36" name="lolItemTitle">
    <vt:lpwstr/>
  </property>
  <property fmtid="{D5CDD505-2E9C-101B-9397-08002B2CF9AE}" pid="37" name="lolTitle">
    <vt:lpwstr>List of Listings</vt:lpwstr>
  </property>
  <property fmtid="{D5CDD505-2E9C-101B-9397-08002B2CF9AE}" pid="38" name="lotItemTemplate">
    <vt:lpwstr>lotItemTitleilistItemTitleDelimt </vt:lpwstr>
  </property>
  <property fmtid="{D5CDD505-2E9C-101B-9397-08002B2CF9AE}" pid="39" name="lotItemTitle">
    <vt:lpwstr/>
  </property>
  <property fmtid="{D5CDD505-2E9C-101B-9397-08002B2CF9AE}" pid="40" name="lotTitle">
    <vt:lpwstr>List of Tables</vt:lpwstr>
  </property>
  <property fmtid="{D5CDD505-2E9C-101B-9397-08002B2CF9AE}" pid="41" name="lstLabels">
    <vt:lpwstr>arabic</vt:lpwstr>
  </property>
  <property fmtid="{D5CDD505-2E9C-101B-9397-08002B2CF9AE}" pid="42" name="lstPrefix">
    <vt:lpwstr/>
  </property>
  <property fmtid="{D5CDD505-2E9C-101B-9397-08002B2CF9AE}" pid="43" name="lstPrefixTemplate">
    <vt:lpwstr>p i</vt:lpwstr>
  </property>
  <property fmtid="{D5CDD505-2E9C-101B-9397-08002B2CF9AE}" pid="44" name="nameInLink">
    <vt:lpwstr>False</vt:lpwstr>
  </property>
  <property fmtid="{D5CDD505-2E9C-101B-9397-08002B2CF9AE}" pid="45" name="numberSections">
    <vt:lpwstr>False</vt:lpwstr>
  </property>
  <property fmtid="{D5CDD505-2E9C-101B-9397-08002B2CF9AE}" pid="46" name="output">
    <vt:lpwstr/>
  </property>
  <property fmtid="{D5CDD505-2E9C-101B-9397-08002B2CF9AE}" pid="47" name="pairDelim">
    <vt:lpwstr>, </vt:lpwstr>
  </property>
  <property fmtid="{D5CDD505-2E9C-101B-9397-08002B2CF9AE}" pid="48" name="rangeDelim">
    <vt:lpwstr>-</vt:lpwstr>
  </property>
  <property fmtid="{D5CDD505-2E9C-101B-9397-08002B2CF9AE}" pid="49" name="refDelim">
    <vt:lpwstr>, </vt:lpwstr>
  </property>
  <property fmtid="{D5CDD505-2E9C-101B-9397-08002B2CF9AE}" pid="50" name="refIndexTemplate">
    <vt:lpwstr>isuf</vt:lpwstr>
  </property>
  <property fmtid="{D5CDD505-2E9C-101B-9397-08002B2CF9AE}" pid="51" name="secHeaderDelim">
    <vt:lpwstr> </vt:lpwstr>
  </property>
  <property fmtid="{D5CDD505-2E9C-101B-9397-08002B2CF9AE}" pid="52" name="secHeaderTemplate">
    <vt:lpwstr>isecHeaderDelim[n]t</vt:lpwstr>
  </property>
  <property fmtid="{D5CDD505-2E9C-101B-9397-08002B2CF9AE}" pid="53" name="secLabels">
    <vt:lpwstr>arabic</vt:lpwstr>
  </property>
  <property fmtid="{D5CDD505-2E9C-101B-9397-08002B2CF9AE}" pid="54" name="secPrefix">
    <vt:lpwstr/>
  </property>
  <property fmtid="{D5CDD505-2E9C-101B-9397-08002B2CF9AE}" pid="55" name="secPrefixTemplate">
    <vt:lpwstr>p i</vt:lpwstr>
  </property>
  <property fmtid="{D5CDD505-2E9C-101B-9397-08002B2CF9AE}" pid="56" name="sectionsDepth">
    <vt:lpwstr>0</vt:lpwstr>
  </property>
  <property fmtid="{D5CDD505-2E9C-101B-9397-08002B2CF9AE}" pid="57" name="subfigGrid">
    <vt:lpwstr>False</vt:lpwstr>
  </property>
  <property fmtid="{D5CDD505-2E9C-101B-9397-08002B2CF9AE}" pid="58" name="subfigLabels">
    <vt:lpwstr>alpha a</vt:lpwstr>
  </property>
  <property fmtid="{D5CDD505-2E9C-101B-9397-08002B2CF9AE}" pid="59" name="subfigureChildTemplate">
    <vt:lpwstr>i</vt:lpwstr>
  </property>
  <property fmtid="{D5CDD505-2E9C-101B-9397-08002B2CF9AE}" pid="60" name="subfigureRefIndexTemplate">
    <vt:lpwstr>isuf (s)</vt:lpwstr>
  </property>
  <property fmtid="{D5CDD505-2E9C-101B-9397-08002B2CF9AE}" pid="61" name="subfigureTemplate">
    <vt:lpwstr>figureTitle ititleDelim t. ccs</vt:lpwstr>
  </property>
  <property fmtid="{D5CDD505-2E9C-101B-9397-08002B2CF9AE}" pid="62" name="tableEqns">
    <vt:lpwstr>False</vt:lpwstr>
  </property>
  <property fmtid="{D5CDD505-2E9C-101B-9397-08002B2CF9AE}" pid="63" name="tableTemplate">
    <vt:lpwstr>tableTitle ititleDelim t</vt:lpwstr>
  </property>
  <property fmtid="{D5CDD505-2E9C-101B-9397-08002B2CF9AE}" pid="64" name="tableTitle">
    <vt:lpwstr>Table</vt:lpwstr>
  </property>
  <property fmtid="{D5CDD505-2E9C-101B-9397-08002B2CF9AE}" pid="65" name="tblLabels">
    <vt:lpwstr>arabic</vt:lpwstr>
  </property>
  <property fmtid="{D5CDD505-2E9C-101B-9397-08002B2CF9AE}" pid="66" name="tblPrefix">
    <vt:lpwstr/>
  </property>
  <property fmtid="{D5CDD505-2E9C-101B-9397-08002B2CF9AE}" pid="67" name="tblPrefixTemplate">
    <vt:lpwstr>p i</vt:lpwstr>
  </property>
  <property fmtid="{D5CDD505-2E9C-101B-9397-08002B2CF9AE}" pid="68" name="titleDelim">
    <vt:lpwstr>:</vt:lpwstr>
  </property>
</Properties>
</file>